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
      </w:pPr>
      <w:r>
        <w:rPr>
          <w:b/>
          <w:bCs/>
          <w:color w:val="0F2233"/>
          <w:sz w:val="46"/>
          <w:szCs w:val="46"/>
        </w:rPr>
        <w:t xml:space="preserve">Expense policy</w:t>
      </w:r>
    </w:p>
    <w:p>
      <w:pPr>
        <w:spacing w:after="260" w:line="300"/>
      </w:pPr>
      <w:r>
        <w:rPr>
          <w:color w:val="41586B"/>
          <w:sz w:val="24"/>
          <w:szCs w:val="24"/>
        </w:rPr>
        <w:t xml:space="preserve">Template for a UAE company. Adapt it, do not adopt it unchanged.</w:t>
      </w:r>
    </w:p>
    <w:p>
      <w:pPr>
        <w:pBdr>
          <w:bottom w:val="single" w:color="0F6E56" w:sz="8"/>
        </w:pBdr>
        <w:spacing w:after="240"/>
      </w:pPr>
    </w:p>
    <w:p>
      <w:pPr>
        <w:pStyle w:val="Heading2"/>
        <w:spacing w:after="110" w:before="260"/>
      </w:pPr>
      <w:r>
        <w:t xml:space="preserve">What this document is for</w:t>
      </w:r>
    </w:p>
    <w:p>
      <w:pPr>
        <w:spacing w:after="140" w:line="300"/>
      </w:pPr>
      <w:r>
        <w:rPr>
          <w:color w:val="0F2233"/>
          <w:sz w:val="21"/>
          <w:szCs w:val="21"/>
        </w:rPr>
        <w:t xml:space="preserve">A written expense policy does two jobs. The first is practical: people need to know what they can spend and what will be reimbursed, before they spend it. The second is evidential. Under the Corporate Tax Law an expense is deductible where it is incurred wholly and exclusively for the purposes of the business and is not capital in nature. When a deduction is questioned, the question is not whether a receipt exists — it is whether the company applied a consistent rule.</w:t>
      </w:r>
    </w:p>
    <w:p>
      <w:pPr>
        <w:spacing w:after="140" w:line="300"/>
      </w:pPr>
      <w:r>
        <w:rPr>
          <w:color w:val="0F2233"/>
          <w:sz w:val="21"/>
          <w:szCs w:val="21"/>
        </w:rPr>
        <w:t xml:space="preserve">That is the part a policy provides and an invoice cannot. A rule applied inconsistently is weaker evidence than no rule at all, because the inconsistency is itself visible.</w:t>
      </w:r>
    </w:p>
    <w:p>
      <w:pPr>
        <w:shd w:fill="FBF0DC" w:val="clear"/>
        <w:spacing w:after="140" w:line="300"/>
      </w:pPr>
      <w:r>
        <w:rPr>
          <w:b/>
          <w:bCs/>
          <w:color w:val="8A5209"/>
          <w:sz w:val="21"/>
          <w:szCs w:val="21"/>
        </w:rPr>
        <w:t xml:space="preserve">Before you use this: every highlighted line is a decision only you can make. Leaving them as they are will produce a document that reads well and means nothing.</w:t>
      </w:r>
    </w:p>
    <w:p>
      <w:pPr>
        <w:pStyle w:val="Heading2"/>
        <w:spacing w:after="110" w:before="260"/>
      </w:pPr>
      <w:r>
        <w:t xml:space="preserve">How to fill it in</w:t>
      </w:r>
    </w:p>
    <w:p>
      <w:pPr>
        <w:spacing w:after="140" w:line="300"/>
      </w:pPr>
      <w:r>
        <w:rPr>
          <w:color w:val="0F2233"/>
          <w:sz w:val="21"/>
          <w:szCs w:val="21"/>
        </w:rPr>
        <w:t xml:space="preserve">Read it once through, then set the numbers. The thresholds below are placeholders chosen to be obviously placeholders, not recommendations — what is right for a five-person consultancy is wrong for a fifty-person trading company. Where a line is highlighted, it needs your number, your job title or your decision.</w:t>
      </w:r>
    </w:p>
    <w:p>
      <w:pPr>
        <w:spacing w:after="140" w:line="300"/>
      </w:pPr>
      <w:r>
        <w:rPr>
          <w:color w:val="0F2233"/>
          <w:sz w:val="21"/>
          <w:szCs w:val="21"/>
        </w:rPr>
        <w:t xml:space="preserve">Two things worth resisting. Do not set a threshold so low that everyone breaks it — a rule that is routinely ignored is worse than no rule, and it is the first thing an auditor will notice. And do not write approval steps you will not follow when you are busy.</w:t>
      </w:r>
    </w:p>
    <w:p>
      <w:r>
        <w:br w:type="page"/>
      </w:r>
    </w:p>
    <w:p>
      <w:pPr>
        <w:pStyle w:val="Heading1"/>
        <w:spacing w:after="140" w:before="320"/>
      </w:pPr>
      <w:r>
        <w:t xml:space="preserve">1. Scope and principles</w:t>
      </w:r>
    </w:p>
    <w:p>
      <w:pPr>
        <w:spacing w:after="140" w:line="300"/>
      </w:pPr>
      <w:r>
        <w:rPr>
          <w:color w:val="0F2233"/>
          <w:sz w:val="21"/>
          <w:szCs w:val="21"/>
        </w:rPr>
        <w:t xml:space="preserve">This policy applies to all employees, directors and contractors of </w:t>
      </w:r>
    </w:p>
    <w:p>
      <w:pPr>
        <w:shd w:fill="FBF0DC" w:val="clear"/>
        <w:spacing w:after="140" w:line="300"/>
      </w:pPr>
      <w:r>
        <w:rPr>
          <w:b/>
          <w:bCs/>
          <w:color w:val="8A5209"/>
          <w:sz w:val="21"/>
          <w:szCs w:val="21"/>
        </w:rPr>
        <w:t xml:space="preserve">[Company name] — insert the legal name as registered</w:t>
      </w:r>
    </w:p>
    <w:p>
      <w:pPr>
        <w:spacing w:after="140" w:line="300"/>
      </w:pPr>
      <w:r>
        <w:rPr>
          <w:color w:val="0F2233"/>
          <w:sz w:val="21"/>
          <w:szCs w:val="21"/>
        </w:rPr>
        <w:t xml:space="preserve">and covers every expense incurred on the company’s behalf, whether paid by company card, by personal funds and reclaimed, or by direct supplier invoice.</w:t>
      </w:r>
    </w:p>
    <w:p>
      <w:pPr>
        <w:pStyle w:val="Heading2"/>
        <w:spacing w:after="110" w:before="260"/>
      </w:pPr>
      <w:r>
        <w:t xml:space="preserve">The four principles</w:t>
      </w:r>
    </w:p>
    <w:p>
      <w:pPr>
        <w:pStyle w:val="ListParagraph"/>
        <w:numPr>
          <w:ilvl w:val="0"/>
          <w:numId w:val="2"/>
        </w:numPr>
        <w:spacing w:after="90" w:line="290"/>
      </w:pPr>
      <w:r>
        <w:rPr>
          <w:color w:val="0F2233"/>
          <w:sz w:val="21"/>
          <w:szCs w:val="21"/>
        </w:rPr>
        <w:t xml:space="preserve">Business purpose. Every expense must be incurred wholly and exclusively for the business. Where an expense serves both a business and a personal purpose, it is apportioned and only the business part is claimed.</w:t>
      </w:r>
    </w:p>
    <w:p>
      <w:pPr>
        <w:pStyle w:val="ListParagraph"/>
        <w:numPr>
          <w:ilvl w:val="0"/>
          <w:numId w:val="2"/>
        </w:numPr>
        <w:spacing w:after="90" w:line="290"/>
      </w:pPr>
      <w:r>
        <w:rPr>
          <w:color w:val="0F2233"/>
          <w:sz w:val="21"/>
          <w:szCs w:val="21"/>
        </w:rPr>
        <w:t xml:space="preserve">Evidence. A claim without a document supporting it is not paid. This is not bureaucracy: an undocumented deduction is a deduction the company cannot defend.</w:t>
      </w:r>
    </w:p>
    <w:p>
      <w:pPr>
        <w:pStyle w:val="ListParagraph"/>
        <w:numPr>
          <w:ilvl w:val="0"/>
          <w:numId w:val="2"/>
        </w:numPr>
        <w:spacing w:after="90" w:line="290"/>
      </w:pPr>
      <w:r>
        <w:rPr>
          <w:color w:val="0F2233"/>
          <w:sz w:val="21"/>
          <w:szCs w:val="21"/>
        </w:rPr>
        <w:t xml:space="preserve">Approval before commitment where the amount is material. Approval after the fact is a formality, and formalities do not control spending.</w:t>
      </w:r>
    </w:p>
    <w:p>
      <w:pPr>
        <w:pStyle w:val="ListParagraph"/>
        <w:numPr>
          <w:ilvl w:val="0"/>
          <w:numId w:val="2"/>
        </w:numPr>
        <w:spacing w:after="90" w:line="290"/>
      </w:pPr>
      <w:r>
        <w:rPr>
          <w:color w:val="0F2233"/>
          <w:sz w:val="21"/>
          <w:szCs w:val="21"/>
        </w:rPr>
        <w:t xml:space="preserve">The same rule for everyone. Exceptions are recorded in writing with the reason. An exception that is documented is a decision; an exception that is not is a weakness in the whole policy.</w:t>
      </w:r>
    </w:p>
    <w:p>
      <w:pPr>
        <w:pStyle w:val="Heading1"/>
        <w:spacing w:after="140" w:before="320"/>
      </w:pPr>
      <w:r>
        <w:t xml:space="preserve">2. Approval and limits</w:t>
      </w:r>
    </w:p>
    <w:p>
      <w:pPr>
        <w:spacing w:after="140" w:line="300"/>
      </w:pPr>
      <w:r>
        <w:rPr>
          <w:color w:val="0F2233"/>
          <w:sz w:val="21"/>
          <w:szCs w:val="21"/>
        </w:rPr>
        <w:t xml:space="preserve">Fill in the three columns below. The middle column is the one people will actually read.</w:t>
      </w:r>
    </w:p>
    <w:p>
      <w:pPr>
        <w:spacing w:after="100" w:line="300"/>
      </w:pPr>
      <w:r>
        <w:rPr>
          <w:color w:val="0F2233"/>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900"/>
        <w:gridCol w:w="4560"/>
      </w:tblGrid>
      <w:tr>
        <w:trPr>
          <w:tblHeader/>
        </w:trPr>
        <w:tc>
          <w:tcPr>
            <w:tcW w:type="dxa" w:w="1900"/>
            <w:shd w:fill="0F6E56" w:val="clear"/>
            <w:tcMar>
              <w:top w:type="dxa" w:w="90"/>
              <w:left w:type="dxa" w:w="130"/>
              <w:bottom w:type="dxa" w:w="90"/>
              <w:right w:type="dxa" w:w="130"/>
            </w:tcMar>
          </w:tcPr>
          <w:p>
            <w:pPr>
              <w:spacing w:after="0" w:line="280"/>
            </w:pPr>
            <w:r>
              <w:rPr>
                <w:b/>
                <w:bCs/>
                <w:color w:val="FFFFFF"/>
                <w:sz w:val="20"/>
                <w:szCs w:val="20"/>
              </w:rPr>
              <w:t xml:space="preserve">Amount (AED)</w:t>
            </w:r>
          </w:p>
        </w:tc>
        <w:tc>
          <w:tcPr>
            <w:tcW w:type="dxa" w:w="2900"/>
            <w:shd w:fill="0F6E56" w:val="clear"/>
            <w:tcMar>
              <w:top w:type="dxa" w:w="90"/>
              <w:left w:type="dxa" w:w="130"/>
              <w:bottom w:type="dxa" w:w="90"/>
              <w:right w:type="dxa" w:w="130"/>
            </w:tcMar>
          </w:tcPr>
          <w:p>
            <w:pPr>
              <w:spacing w:after="0" w:line="280"/>
            </w:pPr>
            <w:r>
              <w:rPr>
                <w:b/>
                <w:bCs/>
                <w:color w:val="FFFFFF"/>
                <w:sz w:val="20"/>
                <w:szCs w:val="20"/>
              </w:rPr>
              <w:t xml:space="preserve">Approved by</w:t>
            </w:r>
          </w:p>
        </w:tc>
        <w:tc>
          <w:tcPr>
            <w:tcW w:type="dxa" w:w="4560"/>
            <w:shd w:fill="0F6E56" w:val="clear"/>
            <w:tcMar>
              <w:top w:type="dxa" w:w="90"/>
              <w:left w:type="dxa" w:w="130"/>
              <w:bottom w:type="dxa" w:w="90"/>
              <w:right w:type="dxa" w:w="130"/>
            </w:tcMar>
          </w:tcPr>
          <w:p>
            <w:pPr>
              <w:spacing w:after="0" w:line="280"/>
            </w:pPr>
            <w:r>
              <w:rPr>
                <w:b/>
                <w:bCs/>
                <w:color w:val="FFFFFF"/>
                <w:sz w:val="20"/>
                <w:szCs w:val="20"/>
              </w:rPr>
              <w:t xml:space="preserve">Before or after commitment</w:t>
            </w:r>
          </w:p>
        </w:tc>
      </w:tr>
      <w:tr>
        <w:trPr>
          <w:cantSplit/>
        </w:trPr>
        <w:tc>
          <w:tcPr>
            <w:tcW w:type="dxa" w:w="1900"/>
            <w:tcMar>
              <w:top w:type="dxa" w:w="90"/>
              <w:left w:type="dxa" w:w="130"/>
              <w:bottom w:type="dxa" w:w="90"/>
              <w:right w:type="dxa" w:w="130"/>
            </w:tcMar>
          </w:tcPr>
          <w:p>
            <w:pPr>
              <w:spacing w:after="0" w:line="280"/>
            </w:pPr>
            <w:r>
              <w:rPr>
                <w:b w:val="false"/>
                <w:bCs w:val="false"/>
                <w:color w:val="0F2233"/>
                <w:sz w:val="20"/>
                <w:szCs w:val="20"/>
              </w:rPr>
              <w:t xml:space="preserve">Up to 500</w:t>
            </w:r>
          </w:p>
        </w:tc>
        <w:tc>
          <w:tcPr>
            <w:tcW w:type="dxa" w:w="2900"/>
            <w:tcMar>
              <w:top w:type="dxa" w:w="90"/>
              <w:left w:type="dxa" w:w="130"/>
              <w:bottom w:type="dxa" w:w="90"/>
              <w:right w:type="dxa" w:w="130"/>
            </w:tcMar>
          </w:tcPr>
          <w:p>
            <w:pPr>
              <w:spacing w:after="0" w:line="280"/>
            </w:pPr>
            <w:r>
              <w:rPr>
                <w:b w:val="false"/>
                <w:bCs w:val="false"/>
                <w:color w:val="0F2233"/>
                <w:sz w:val="20"/>
                <w:szCs w:val="20"/>
              </w:rPr>
              <w:t xml:space="preserve">[line manager]</w:t>
            </w:r>
          </w:p>
        </w:tc>
        <w:tc>
          <w:tcPr>
            <w:tcW w:type="dxa" w:w="4560"/>
            <w:tcMar>
              <w:top w:type="dxa" w:w="90"/>
              <w:left w:type="dxa" w:w="130"/>
              <w:bottom w:type="dxa" w:w="90"/>
              <w:right w:type="dxa" w:w="130"/>
            </w:tcMar>
          </w:tcPr>
          <w:p>
            <w:pPr>
              <w:spacing w:after="0" w:line="280"/>
            </w:pPr>
            <w:r>
              <w:rPr>
                <w:b w:val="false"/>
                <w:bCs w:val="false"/>
                <w:color w:val="0F2233"/>
                <w:sz w:val="20"/>
                <w:szCs w:val="20"/>
              </w:rPr>
              <w:t xml:space="preserve">After — claim with receipt</w:t>
            </w:r>
          </w:p>
        </w:tc>
      </w:tr>
      <w:tr>
        <w:trPr>
          <w:cantSplit/>
        </w:trPr>
        <w:tc>
          <w:tcPr>
            <w:tcW w:type="dxa" w:w="1900"/>
            <w:shd w:fill="F6F9FB" w:val="clear"/>
            <w:tcMar>
              <w:top w:type="dxa" w:w="90"/>
              <w:left w:type="dxa" w:w="130"/>
              <w:bottom w:type="dxa" w:w="90"/>
              <w:right w:type="dxa" w:w="130"/>
            </w:tcMar>
          </w:tcPr>
          <w:p>
            <w:pPr>
              <w:spacing w:after="0" w:line="280"/>
            </w:pPr>
            <w:r>
              <w:rPr>
                <w:b w:val="false"/>
                <w:bCs w:val="false"/>
                <w:color w:val="0F2233"/>
                <w:sz w:val="20"/>
                <w:szCs w:val="20"/>
              </w:rPr>
              <w:t xml:space="preserve">500 to 5,000</w:t>
            </w:r>
          </w:p>
        </w:tc>
        <w:tc>
          <w:tcPr>
            <w:tcW w:type="dxa" w:w="2900"/>
            <w:shd w:fill="F6F9FB" w:val="clear"/>
            <w:tcMar>
              <w:top w:type="dxa" w:w="90"/>
              <w:left w:type="dxa" w:w="130"/>
              <w:bottom w:type="dxa" w:w="90"/>
              <w:right w:type="dxa" w:w="130"/>
            </w:tcMar>
          </w:tcPr>
          <w:p>
            <w:pPr>
              <w:spacing w:after="0" w:line="280"/>
            </w:pPr>
            <w:r>
              <w:rPr>
                <w:b w:val="false"/>
                <w:bCs w:val="false"/>
                <w:color w:val="0F2233"/>
                <w:sz w:val="20"/>
                <w:szCs w:val="20"/>
              </w:rPr>
              <w:t xml:space="preserve">[department head]</w:t>
            </w:r>
          </w:p>
        </w:tc>
        <w:tc>
          <w:tcPr>
            <w:tcW w:type="dxa" w:w="4560"/>
            <w:shd w:fill="F6F9FB" w:val="clear"/>
            <w:tcMar>
              <w:top w:type="dxa" w:w="90"/>
              <w:left w:type="dxa" w:w="130"/>
              <w:bottom w:type="dxa" w:w="90"/>
              <w:right w:type="dxa" w:w="130"/>
            </w:tcMar>
          </w:tcPr>
          <w:p>
            <w:pPr>
              <w:spacing w:after="0" w:line="280"/>
            </w:pPr>
            <w:r>
              <w:rPr>
                <w:b w:val="false"/>
                <w:bCs w:val="false"/>
                <w:color w:val="0F2233"/>
                <w:sz w:val="20"/>
                <w:szCs w:val="20"/>
              </w:rPr>
              <w:t xml:space="preserve">Before, in writing or by email</w:t>
            </w:r>
          </w:p>
        </w:tc>
      </w:tr>
      <w:tr>
        <w:trPr>
          <w:cantSplit/>
        </w:trPr>
        <w:tc>
          <w:tcPr>
            <w:tcW w:type="dxa" w:w="1900"/>
            <w:tcMar>
              <w:top w:type="dxa" w:w="90"/>
              <w:left w:type="dxa" w:w="130"/>
              <w:bottom w:type="dxa" w:w="90"/>
              <w:right w:type="dxa" w:w="130"/>
            </w:tcMar>
          </w:tcPr>
          <w:p>
            <w:pPr>
              <w:spacing w:after="0" w:line="280"/>
            </w:pPr>
            <w:r>
              <w:rPr>
                <w:b w:val="false"/>
                <w:bCs w:val="false"/>
                <w:color w:val="0F2233"/>
                <w:sz w:val="20"/>
                <w:szCs w:val="20"/>
              </w:rPr>
              <w:t xml:space="preserve">5,000 to 50,000</w:t>
            </w:r>
          </w:p>
        </w:tc>
        <w:tc>
          <w:tcPr>
            <w:tcW w:type="dxa" w:w="2900"/>
            <w:tcMar>
              <w:top w:type="dxa" w:w="90"/>
              <w:left w:type="dxa" w:w="130"/>
              <w:bottom w:type="dxa" w:w="90"/>
              <w:right w:type="dxa" w:w="130"/>
            </w:tcMar>
          </w:tcPr>
          <w:p>
            <w:pPr>
              <w:spacing w:after="0" w:line="280"/>
            </w:pPr>
            <w:r>
              <w:rPr>
                <w:b w:val="false"/>
                <w:bCs w:val="false"/>
                <w:color w:val="0F2233"/>
                <w:sz w:val="20"/>
                <w:szCs w:val="20"/>
              </w:rPr>
              <w:t xml:space="preserve">[finance director]</w:t>
            </w:r>
          </w:p>
        </w:tc>
        <w:tc>
          <w:tcPr>
            <w:tcW w:type="dxa" w:w="4560"/>
            <w:tcMar>
              <w:top w:type="dxa" w:w="90"/>
              <w:left w:type="dxa" w:w="130"/>
              <w:bottom w:type="dxa" w:w="90"/>
              <w:right w:type="dxa" w:w="130"/>
            </w:tcMar>
          </w:tcPr>
          <w:p>
            <w:pPr>
              <w:spacing w:after="0" w:line="280"/>
            </w:pPr>
            <w:r>
              <w:rPr>
                <w:b w:val="false"/>
                <w:bCs w:val="false"/>
                <w:color w:val="0F2233"/>
                <w:sz w:val="20"/>
                <w:szCs w:val="20"/>
              </w:rPr>
              <w:t xml:space="preserve">Before, in writing</w:t>
            </w:r>
          </w:p>
        </w:tc>
      </w:tr>
      <w:tr>
        <w:trPr>
          <w:cantSplit/>
        </w:trPr>
        <w:tc>
          <w:tcPr>
            <w:tcW w:type="dxa" w:w="1900"/>
            <w:shd w:fill="F6F9FB" w:val="clear"/>
            <w:tcMar>
              <w:top w:type="dxa" w:w="90"/>
              <w:left w:type="dxa" w:w="130"/>
              <w:bottom w:type="dxa" w:w="90"/>
              <w:right w:type="dxa" w:w="130"/>
            </w:tcMar>
          </w:tcPr>
          <w:p>
            <w:pPr>
              <w:spacing w:after="0" w:line="280"/>
            </w:pPr>
            <w:r>
              <w:rPr>
                <w:b w:val="false"/>
                <w:bCs w:val="false"/>
                <w:color w:val="0F2233"/>
                <w:sz w:val="20"/>
                <w:szCs w:val="20"/>
              </w:rPr>
              <w:t xml:space="preserve">Above 50,000</w:t>
            </w:r>
          </w:p>
        </w:tc>
        <w:tc>
          <w:tcPr>
            <w:tcW w:type="dxa" w:w="2900"/>
            <w:shd w:fill="F6F9FB" w:val="clear"/>
            <w:tcMar>
              <w:top w:type="dxa" w:w="90"/>
              <w:left w:type="dxa" w:w="130"/>
              <w:bottom w:type="dxa" w:w="90"/>
              <w:right w:type="dxa" w:w="130"/>
            </w:tcMar>
          </w:tcPr>
          <w:p>
            <w:pPr>
              <w:spacing w:after="0" w:line="280"/>
            </w:pPr>
            <w:r>
              <w:rPr>
                <w:b w:val="false"/>
                <w:bCs w:val="false"/>
                <w:color w:val="0F2233"/>
                <w:sz w:val="20"/>
                <w:szCs w:val="20"/>
              </w:rPr>
              <w:t xml:space="preserve">[managing director or board]</w:t>
            </w:r>
          </w:p>
        </w:tc>
        <w:tc>
          <w:tcPr>
            <w:tcW w:type="dxa" w:w="4560"/>
            <w:shd w:fill="F6F9FB" w:val="clear"/>
            <w:tcMar>
              <w:top w:type="dxa" w:w="90"/>
              <w:left w:type="dxa" w:w="130"/>
              <w:bottom w:type="dxa" w:w="90"/>
              <w:right w:type="dxa" w:w="130"/>
            </w:tcMar>
          </w:tcPr>
          <w:p>
            <w:pPr>
              <w:spacing w:after="0" w:line="280"/>
            </w:pPr>
            <w:r>
              <w:rPr>
                <w:b w:val="false"/>
                <w:bCs w:val="false"/>
                <w:color w:val="0F2233"/>
                <w:sz w:val="20"/>
                <w:szCs w:val="20"/>
              </w:rPr>
              <w:t xml:space="preserve">Before, in writing, with a written case</w:t>
            </w:r>
          </w:p>
        </w:tc>
      </w:tr>
      <w:tr>
        <w:trPr>
          <w:cantSplit/>
        </w:trPr>
        <w:tc>
          <w:tcPr>
            <w:tcW w:type="dxa" w:w="1900"/>
            <w:tcMar>
              <w:top w:type="dxa" w:w="90"/>
              <w:left w:type="dxa" w:w="130"/>
              <w:bottom w:type="dxa" w:w="90"/>
              <w:right w:type="dxa" w:w="130"/>
            </w:tcMar>
          </w:tcPr>
          <w:p>
            <w:pPr>
              <w:spacing w:after="0" w:line="280"/>
            </w:pPr>
            <w:r>
              <w:rPr>
                <w:b w:val="false"/>
                <w:bCs w:val="false"/>
                <w:color w:val="0F2233"/>
                <w:sz w:val="20"/>
                <w:szCs w:val="20"/>
              </w:rPr>
              <w:t xml:space="preserve">Any amount, unbudgeted</w:t>
            </w:r>
          </w:p>
        </w:tc>
        <w:tc>
          <w:tcPr>
            <w:tcW w:type="dxa" w:w="2900"/>
            <w:tcMar>
              <w:top w:type="dxa" w:w="90"/>
              <w:left w:type="dxa" w:w="130"/>
              <w:bottom w:type="dxa" w:w="90"/>
              <w:right w:type="dxa" w:w="130"/>
            </w:tcMar>
          </w:tcPr>
          <w:p>
            <w:pPr>
              <w:spacing w:after="0" w:line="280"/>
            </w:pPr>
            <w:r>
              <w:rPr>
                <w:b w:val="false"/>
                <w:bCs w:val="false"/>
                <w:color w:val="0F2233"/>
                <w:sz w:val="20"/>
                <w:szCs w:val="20"/>
              </w:rPr>
              <w:t xml:space="preserve">[finance director]</w:t>
            </w:r>
          </w:p>
        </w:tc>
        <w:tc>
          <w:tcPr>
            <w:tcW w:type="dxa" w:w="4560"/>
            <w:tcMar>
              <w:top w:type="dxa" w:w="90"/>
              <w:left w:type="dxa" w:w="130"/>
              <w:bottom w:type="dxa" w:w="90"/>
              <w:right w:type="dxa" w:w="130"/>
            </w:tcMar>
          </w:tcPr>
          <w:p>
            <w:pPr>
              <w:spacing w:after="0" w:line="280"/>
            </w:pPr>
            <w:r>
              <w:rPr>
                <w:b w:val="false"/>
                <w:bCs w:val="false"/>
                <w:color w:val="0F2233"/>
                <w:sz w:val="20"/>
                <w:szCs w:val="20"/>
              </w:rPr>
              <w:t xml:space="preserve">Before, regardless of size</w:t>
            </w:r>
          </w:p>
        </w:tc>
      </w:tr>
    </w:tbl>
    <w:p>
      <w:pPr>
        <w:spacing w:after="100" w:line="300"/>
      </w:pPr>
      <w:r>
        <w:rPr>
          <w:color w:val="0F2233"/>
          <w:sz w:val="21"/>
          <w:szCs w:val="21"/>
        </w:rPr>
        <w:t xml:space="preserve"/>
      </w:r>
    </w:p>
    <w:p>
      <w:pPr>
        <w:shd w:fill="FBF0DC" w:val="clear"/>
        <w:spacing w:after="140" w:line="300"/>
      </w:pPr>
      <w:r>
        <w:rPr>
          <w:b/>
          <w:bCs/>
          <w:color w:val="8A5209"/>
          <w:sz w:val="21"/>
          <w:szCs w:val="21"/>
        </w:rPr>
        <w:t xml:space="preserve">The four amounts above are placeholders. Set them so that the first band covers what people spend without thinking, and the last covers what should reach the top of the company.</w:t>
      </w:r>
    </w:p>
    <w:p>
      <w:pPr>
        <w:spacing w:after="140" w:line="300"/>
      </w:pPr>
      <w:r>
        <w:rPr>
          <w:color w:val="0F2233"/>
          <w:sz w:val="21"/>
          <w:szCs w:val="21"/>
        </w:rPr>
        <w:t xml:space="preserve">Self-approval is not permitted at any amount. An expense incurred by an approver is approved one level up. This includes the finance director and the managing director — the rule is worth stating explicitly because it is the one most often assumed to have exceptions.</w:t>
      </w:r>
    </w:p>
    <w:p>
      <w:pPr>
        <w:pStyle w:val="Heading1"/>
        <w:spacing w:after="140" w:before="320"/>
      </w:pPr>
      <w:r>
        <w:t xml:space="preserve">3. Categories</w:t>
      </w:r>
    </w:p>
    <w:p>
      <w:pPr>
        <w:pStyle w:val="Heading2"/>
        <w:spacing w:after="110" w:before="260"/>
      </w:pPr>
      <w:r>
        <w:t xml:space="preserve">3.1 Travel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4200"/>
        <w:gridCol w:w="3360"/>
      </w:tblGrid>
      <w:tr>
        <w:trPr>
          <w:tblHeader/>
        </w:trPr>
        <w:tc>
          <w:tcPr>
            <w:tcW w:type="dxa" w:w="1800"/>
            <w:shd w:fill="0F6E56" w:val="clear"/>
            <w:tcMar>
              <w:top w:type="dxa" w:w="90"/>
              <w:left w:type="dxa" w:w="130"/>
              <w:bottom w:type="dxa" w:w="90"/>
              <w:right w:type="dxa" w:w="130"/>
            </w:tcMar>
          </w:tcPr>
          <w:p>
            <w:pPr>
              <w:spacing w:after="0" w:line="280"/>
            </w:pPr>
            <w:r>
              <w:rPr>
                <w:b/>
                <w:bCs/>
                <w:color w:val="FFFFFF"/>
                <w:sz w:val="20"/>
                <w:szCs w:val="20"/>
              </w:rPr>
              <w:t xml:space="preserve">Item</w:t>
            </w:r>
          </w:p>
        </w:tc>
        <w:tc>
          <w:tcPr>
            <w:tcW w:type="dxa" w:w="4200"/>
            <w:shd w:fill="0F6E56" w:val="clear"/>
            <w:tcMar>
              <w:top w:type="dxa" w:w="90"/>
              <w:left w:type="dxa" w:w="130"/>
              <w:bottom w:type="dxa" w:w="90"/>
              <w:right w:type="dxa" w:w="130"/>
            </w:tcMar>
          </w:tcPr>
          <w:p>
            <w:pPr>
              <w:spacing w:after="0" w:line="280"/>
            </w:pPr>
            <w:r>
              <w:rPr>
                <w:b/>
                <w:bCs/>
                <w:color w:val="FFFFFF"/>
                <w:sz w:val="20"/>
                <w:szCs w:val="20"/>
              </w:rPr>
              <w:t xml:space="preserve">What is allowed</w:t>
            </w:r>
          </w:p>
        </w:tc>
        <w:tc>
          <w:tcPr>
            <w:tcW w:type="dxa" w:w="3360"/>
            <w:shd w:fill="0F6E56" w:val="clear"/>
            <w:tcMar>
              <w:top w:type="dxa" w:w="90"/>
              <w:left w:type="dxa" w:w="130"/>
              <w:bottom w:type="dxa" w:w="90"/>
              <w:right w:type="dxa" w:w="130"/>
            </w:tcMar>
          </w:tcPr>
          <w:p>
            <w:pPr>
              <w:spacing w:after="0" w:line="280"/>
            </w:pPr>
            <w:r>
              <w:rPr>
                <w:b/>
                <w:bCs/>
                <w:color w:val="FFFFFF"/>
                <w:sz w:val="20"/>
                <w:szCs w:val="20"/>
              </w:rPr>
              <w:t xml:space="preserve">Evidence required</w:t>
            </w:r>
          </w:p>
        </w:tc>
      </w:tr>
      <w:tr>
        <w:trPr>
          <w:cantSplit/>
        </w:trPr>
        <w:tc>
          <w:tcPr>
            <w:tcW w:type="dxa" w:w="1800"/>
            <w:tcMar>
              <w:top w:type="dxa" w:w="90"/>
              <w:left w:type="dxa" w:w="130"/>
              <w:bottom w:type="dxa" w:w="90"/>
              <w:right w:type="dxa" w:w="130"/>
            </w:tcMar>
          </w:tcPr>
          <w:p>
            <w:pPr>
              <w:spacing w:after="0" w:line="280"/>
            </w:pPr>
            <w:r>
              <w:rPr>
                <w:b w:val="false"/>
                <w:bCs w:val="false"/>
                <w:color w:val="0F2233"/>
                <w:sz w:val="20"/>
                <w:szCs w:val="20"/>
              </w:rPr>
              <w:t xml:space="preserve">Air travel</w:t>
            </w:r>
          </w:p>
        </w:tc>
        <w:tc>
          <w:tcPr>
            <w:tcW w:type="dxa" w:w="4200"/>
            <w:tcMar>
              <w:top w:type="dxa" w:w="90"/>
              <w:left w:type="dxa" w:w="130"/>
              <w:bottom w:type="dxa" w:w="90"/>
              <w:right w:type="dxa" w:w="130"/>
            </w:tcMar>
          </w:tcPr>
          <w:p>
            <w:pPr>
              <w:spacing w:after="0" w:line="280"/>
            </w:pPr>
            <w:r>
              <w:rPr>
                <w:b w:val="false"/>
                <w:bCs w:val="false"/>
                <w:color w:val="0F2233"/>
                <w:sz w:val="20"/>
                <w:szCs w:val="20"/>
              </w:rPr>
              <w:t xml:space="preserve">Economy class as standard. [Business class permitted for flights over X hours — set or delete]</w:t>
            </w:r>
          </w:p>
        </w:tc>
        <w:tc>
          <w:tcPr>
            <w:tcW w:type="dxa" w:w="3360"/>
            <w:tcMar>
              <w:top w:type="dxa" w:w="90"/>
              <w:left w:type="dxa" w:w="130"/>
              <w:bottom w:type="dxa" w:w="90"/>
              <w:right w:type="dxa" w:w="130"/>
            </w:tcMar>
          </w:tcPr>
          <w:p>
            <w:pPr>
              <w:spacing w:after="0" w:line="280"/>
            </w:pPr>
            <w:r>
              <w:rPr>
                <w:b w:val="false"/>
                <w:bCs w:val="false"/>
                <w:color w:val="0F2233"/>
                <w:sz w:val="20"/>
                <w:szCs w:val="20"/>
              </w:rPr>
              <w:t xml:space="preserve">Booking confirmation and boarding pass or e-ticket</w:t>
            </w:r>
          </w:p>
        </w:tc>
      </w:tr>
      <w:tr>
        <w:trPr>
          <w:cantSplit/>
        </w:trPr>
        <w:tc>
          <w:tcPr>
            <w:tcW w:type="dxa" w:w="1800"/>
            <w:shd w:fill="F6F9FB" w:val="clear"/>
            <w:tcMar>
              <w:top w:type="dxa" w:w="90"/>
              <w:left w:type="dxa" w:w="130"/>
              <w:bottom w:type="dxa" w:w="90"/>
              <w:right w:type="dxa" w:w="130"/>
            </w:tcMar>
          </w:tcPr>
          <w:p>
            <w:pPr>
              <w:spacing w:after="0" w:line="280"/>
            </w:pPr>
            <w:r>
              <w:rPr>
                <w:b w:val="false"/>
                <w:bCs w:val="false"/>
                <w:color w:val="0F2233"/>
                <w:sz w:val="20"/>
                <w:szCs w:val="20"/>
              </w:rPr>
              <w:t xml:space="preserve">Hotels</w:t>
            </w:r>
          </w:p>
        </w:tc>
        <w:tc>
          <w:tcPr>
            <w:tcW w:type="dxa" w:w="4200"/>
            <w:shd w:fill="F6F9FB" w:val="clear"/>
            <w:tcMar>
              <w:top w:type="dxa" w:w="90"/>
              <w:left w:type="dxa" w:w="130"/>
              <w:bottom w:type="dxa" w:w="90"/>
              <w:right w:type="dxa" w:w="130"/>
            </w:tcMar>
          </w:tcPr>
          <w:p>
            <w:pPr>
              <w:spacing w:after="0" w:line="280"/>
            </w:pPr>
            <w:r>
              <w:rPr>
                <w:b w:val="false"/>
                <w:bCs w:val="false"/>
                <w:color w:val="0F2233"/>
                <w:sz w:val="20"/>
                <w:szCs w:val="20"/>
              </w:rPr>
              <w:t xml:space="preserve">Up to AED [X] per night in [city list], AED [Y] elsewhere</w:t>
            </w:r>
          </w:p>
        </w:tc>
        <w:tc>
          <w:tcPr>
            <w:tcW w:type="dxa" w:w="3360"/>
            <w:shd w:fill="F6F9FB" w:val="clear"/>
            <w:tcMar>
              <w:top w:type="dxa" w:w="90"/>
              <w:left w:type="dxa" w:w="130"/>
              <w:bottom w:type="dxa" w:w="90"/>
              <w:right w:type="dxa" w:w="130"/>
            </w:tcMar>
          </w:tcPr>
          <w:p>
            <w:pPr>
              <w:spacing w:after="0" w:line="280"/>
            </w:pPr>
            <w:r>
              <w:rPr>
                <w:b w:val="false"/>
                <w:bCs w:val="false"/>
                <w:color w:val="0F2233"/>
                <w:sz w:val="20"/>
                <w:szCs w:val="20"/>
              </w:rPr>
              <w:t xml:space="preserve">Itemised hotel invoice, not the booking confirmation</w:t>
            </w:r>
          </w:p>
        </w:tc>
      </w:tr>
      <w:tr>
        <w:trPr>
          <w:cantSplit/>
        </w:trPr>
        <w:tc>
          <w:tcPr>
            <w:tcW w:type="dxa" w:w="1800"/>
            <w:tcMar>
              <w:top w:type="dxa" w:w="90"/>
              <w:left w:type="dxa" w:w="130"/>
              <w:bottom w:type="dxa" w:w="90"/>
              <w:right w:type="dxa" w:w="130"/>
            </w:tcMar>
          </w:tcPr>
          <w:p>
            <w:pPr>
              <w:spacing w:after="0" w:line="280"/>
            </w:pPr>
            <w:r>
              <w:rPr>
                <w:b w:val="false"/>
                <w:bCs w:val="false"/>
                <w:color w:val="0F2233"/>
                <w:sz w:val="20"/>
                <w:szCs w:val="20"/>
              </w:rPr>
              <w:t xml:space="preserve">Ground transport</w:t>
            </w:r>
          </w:p>
        </w:tc>
        <w:tc>
          <w:tcPr>
            <w:tcW w:type="dxa" w:w="4200"/>
            <w:tcMar>
              <w:top w:type="dxa" w:w="90"/>
              <w:left w:type="dxa" w:w="130"/>
              <w:bottom w:type="dxa" w:w="90"/>
              <w:right w:type="dxa" w:w="130"/>
            </w:tcMar>
          </w:tcPr>
          <w:p>
            <w:pPr>
              <w:spacing w:after="0" w:line="280"/>
            </w:pPr>
            <w:r>
              <w:rPr>
                <w:b w:val="false"/>
                <w:bCs w:val="false"/>
                <w:color w:val="0F2233"/>
                <w:sz w:val="20"/>
                <w:szCs w:val="20"/>
              </w:rPr>
              <w:t xml:space="preserve">Taxi, ride-hailing or public transport. Car hire with prior approval</w:t>
            </w:r>
          </w:p>
        </w:tc>
        <w:tc>
          <w:tcPr>
            <w:tcW w:type="dxa" w:w="3360"/>
            <w:tcMar>
              <w:top w:type="dxa" w:w="90"/>
              <w:left w:type="dxa" w:w="130"/>
              <w:bottom w:type="dxa" w:w="90"/>
              <w:right w:type="dxa" w:w="130"/>
            </w:tcMar>
          </w:tcPr>
          <w:p>
            <w:pPr>
              <w:spacing w:after="0" w:line="280"/>
            </w:pPr>
            <w:r>
              <w:rPr>
                <w:b w:val="false"/>
                <w:bCs w:val="false"/>
                <w:color w:val="0F2233"/>
                <w:sz w:val="20"/>
                <w:szCs w:val="20"/>
              </w:rPr>
              <w:t xml:space="preserve">Receipt with date and route</w:t>
            </w:r>
          </w:p>
        </w:tc>
      </w:tr>
      <w:tr>
        <w:trPr>
          <w:cantSplit/>
        </w:trPr>
        <w:tc>
          <w:tcPr>
            <w:tcW w:type="dxa" w:w="1800"/>
            <w:shd w:fill="F6F9FB" w:val="clear"/>
            <w:tcMar>
              <w:top w:type="dxa" w:w="90"/>
              <w:left w:type="dxa" w:w="130"/>
              <w:bottom w:type="dxa" w:w="90"/>
              <w:right w:type="dxa" w:w="130"/>
            </w:tcMar>
          </w:tcPr>
          <w:p>
            <w:pPr>
              <w:spacing w:after="0" w:line="280"/>
            </w:pPr>
            <w:r>
              <w:rPr>
                <w:b w:val="false"/>
                <w:bCs w:val="false"/>
                <w:color w:val="0F2233"/>
                <w:sz w:val="20"/>
                <w:szCs w:val="20"/>
              </w:rPr>
              <w:t xml:space="preserve">Meals while travelling</w:t>
            </w:r>
          </w:p>
        </w:tc>
        <w:tc>
          <w:tcPr>
            <w:tcW w:type="dxa" w:w="4200"/>
            <w:shd w:fill="F6F9FB" w:val="clear"/>
            <w:tcMar>
              <w:top w:type="dxa" w:w="90"/>
              <w:left w:type="dxa" w:w="130"/>
              <w:bottom w:type="dxa" w:w="90"/>
              <w:right w:type="dxa" w:w="130"/>
            </w:tcMar>
          </w:tcPr>
          <w:p>
            <w:pPr>
              <w:spacing w:after="0" w:line="280"/>
            </w:pPr>
            <w:r>
              <w:rPr>
                <w:b w:val="false"/>
                <w:bCs w:val="false"/>
                <w:color w:val="0F2233"/>
                <w:sz w:val="20"/>
                <w:szCs w:val="20"/>
              </w:rPr>
              <w:t xml:space="preserve">Up to AED [X] per day, actual spend, not a per diem unless stated below</w:t>
            </w:r>
          </w:p>
        </w:tc>
        <w:tc>
          <w:tcPr>
            <w:tcW w:type="dxa" w:w="3360"/>
            <w:shd w:fill="F6F9FB" w:val="clear"/>
            <w:tcMar>
              <w:top w:type="dxa" w:w="90"/>
              <w:left w:type="dxa" w:w="130"/>
              <w:bottom w:type="dxa" w:w="90"/>
              <w:right w:type="dxa" w:w="130"/>
            </w:tcMar>
          </w:tcPr>
          <w:p>
            <w:pPr>
              <w:spacing w:after="0" w:line="280"/>
            </w:pPr>
            <w:r>
              <w:rPr>
                <w:b w:val="false"/>
                <w:bCs w:val="false"/>
                <w:color w:val="0F2233"/>
                <w:sz w:val="20"/>
                <w:szCs w:val="20"/>
              </w:rPr>
              <w:t xml:space="preserve">Itemised receipts</w:t>
            </w:r>
          </w:p>
        </w:tc>
      </w:tr>
      <w:tr>
        <w:trPr>
          <w:cantSplit/>
        </w:trPr>
        <w:tc>
          <w:tcPr>
            <w:tcW w:type="dxa" w:w="1800"/>
            <w:tcMar>
              <w:top w:type="dxa" w:w="90"/>
              <w:left w:type="dxa" w:w="130"/>
              <w:bottom w:type="dxa" w:w="90"/>
              <w:right w:type="dxa" w:w="130"/>
            </w:tcMar>
          </w:tcPr>
          <w:p>
            <w:pPr>
              <w:spacing w:after="0" w:line="280"/>
            </w:pPr>
            <w:r>
              <w:rPr>
                <w:b w:val="false"/>
                <w:bCs w:val="false"/>
                <w:color w:val="0F2233"/>
                <w:sz w:val="20"/>
                <w:szCs w:val="20"/>
              </w:rPr>
              <w:t xml:space="preserve">Personal extras</w:t>
            </w:r>
          </w:p>
        </w:tc>
        <w:tc>
          <w:tcPr>
            <w:tcW w:type="dxa" w:w="4200"/>
            <w:tcMar>
              <w:top w:type="dxa" w:w="90"/>
              <w:left w:type="dxa" w:w="130"/>
              <w:bottom w:type="dxa" w:w="90"/>
              <w:right w:type="dxa" w:w="130"/>
            </w:tcMar>
          </w:tcPr>
          <w:p>
            <w:pPr>
              <w:spacing w:after="0" w:line="280"/>
            </w:pPr>
            <w:r>
              <w:rPr>
                <w:b w:val="false"/>
                <w:bCs w:val="false"/>
                <w:color w:val="0F2233"/>
                <w:sz w:val="20"/>
                <w:szCs w:val="20"/>
              </w:rPr>
              <w:t xml:space="preserve">Not reimbursed: minibar, films, spa, laundry beyond [X] nights, upgrades</w:t>
            </w:r>
          </w:p>
        </w:tc>
        <w:tc>
          <w:tcPr>
            <w:tcW w:type="dxa" w:w="3360"/>
            <w:tcMar>
              <w:top w:type="dxa" w:w="90"/>
              <w:left w:type="dxa" w:w="130"/>
              <w:bottom w:type="dxa" w:w="90"/>
              <w:right w:type="dxa" w:w="130"/>
            </w:tcMar>
          </w:tcPr>
          <w:p>
            <w:pPr>
              <w:spacing w:after="0" w:line="280"/>
            </w:pPr>
            <w:r>
              <w:rPr>
                <w:b w:val="false"/>
                <w:bCs w:val="false"/>
                <w:color w:val="0F2233"/>
                <w:sz w:val="20"/>
                <w:szCs w:val="20"/>
              </w:rPr>
              <w:t xml:space="preserve">—</w:t>
            </w:r>
          </w:p>
        </w:tc>
      </w:tr>
    </w:tbl>
    <w:p>
      <w:pPr>
        <w:spacing w:after="100" w:line="300"/>
      </w:pPr>
      <w:r>
        <w:rPr>
          <w:color w:val="0F2233"/>
          <w:sz w:val="21"/>
          <w:szCs w:val="21"/>
        </w:rPr>
        <w:t xml:space="preserve"/>
      </w:r>
    </w:p>
    <w:p>
      <w:pPr>
        <w:shd w:fill="FBF0DC" w:val="clear"/>
        <w:spacing w:after="140" w:line="300"/>
      </w:pPr>
      <w:r>
        <w:rPr>
          <w:b/>
          <w:bCs/>
          <w:color w:val="8A5209"/>
          <w:sz w:val="21"/>
          <w:szCs w:val="21"/>
        </w:rPr>
        <w:t xml:space="preserve">Decide now whether you reimburse actual spend or pay a per diem. Both work; mixing them does not, and the mixture is what most policies quietly contain.</w:t>
      </w:r>
    </w:p>
    <w:p>
      <w:pPr>
        <w:pStyle w:val="Heading2"/>
        <w:spacing w:after="110" w:before="260"/>
      </w:pPr>
      <w:r>
        <w:t xml:space="preserve">3.2 Entertainment and client hospitality</w:t>
      </w:r>
    </w:p>
    <w:p>
      <w:pPr>
        <w:spacing w:after="140" w:line="300"/>
      </w:pPr>
      <w:r>
        <w:rPr>
          <w:color w:val="0F2233"/>
          <w:sz w:val="21"/>
          <w:szCs w:val="21"/>
        </w:rPr>
        <w:t xml:space="preserve">This category needs its own rule because the tax treatment differs from every other category. Entertainment, amusement and recreation expenditure is deductible at 50% under Article 32 of the Corporate Tax Law. The company still pays it in full; only half is deductible.</w:t>
      </w:r>
    </w:p>
    <w:p>
      <w:pPr>
        <w:spacing w:after="140" w:line="300"/>
      </w:pPr>
      <w:r>
        <w:rPr>
          <w:color w:val="0F2233"/>
          <w:sz w:val="21"/>
          <w:szCs w:val="21"/>
        </w:rPr>
        <w:t xml:space="preserve">Two consequences for how you record it. Entertainment must be coded to its own account, separately from travel and from staff costs — if it is mixed in, the restriction cannot be applied without unpicking the ledger later. And the business purpose has to be recorded at the time: who was entertained, which company they represent, and what was being discussed.</w:t>
      </w:r>
    </w:p>
    <w:p>
      <w:pPr>
        <w:spacing w:after="100" w:line="300"/>
      </w:pPr>
      <w:r>
        <w:rPr>
          <w:color w:val="0F2233"/>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5960"/>
      </w:tblGrid>
      <w:tr>
        <w:trPr>
          <w:tblHeader/>
        </w:trPr>
        <w:tc>
          <w:tcPr>
            <w:tcW w:type="dxa" w:w="3400"/>
            <w:shd w:fill="0F6E56" w:val="clear"/>
            <w:tcMar>
              <w:top w:type="dxa" w:w="90"/>
              <w:left w:type="dxa" w:w="130"/>
              <w:bottom w:type="dxa" w:w="90"/>
              <w:right w:type="dxa" w:w="130"/>
            </w:tcMar>
          </w:tcPr>
          <w:p>
            <w:pPr>
              <w:spacing w:after="0" w:line="280"/>
            </w:pPr>
            <w:r>
              <w:rPr>
                <w:b/>
                <w:bCs/>
                <w:color w:val="FFFFFF"/>
                <w:sz w:val="20"/>
                <w:szCs w:val="20"/>
              </w:rPr>
              <w:t xml:space="preserve">Situation</w:t>
            </w:r>
          </w:p>
        </w:tc>
        <w:tc>
          <w:tcPr>
            <w:tcW w:type="dxa" w:w="5960"/>
            <w:shd w:fill="0F6E56" w:val="clear"/>
            <w:tcMar>
              <w:top w:type="dxa" w:w="90"/>
              <w:left w:type="dxa" w:w="130"/>
              <w:bottom w:type="dxa" w:w="90"/>
              <w:right w:type="dxa" w:w="130"/>
            </w:tcMar>
          </w:tcPr>
          <w:p>
            <w:pPr>
              <w:spacing w:after="0" w:line="280"/>
            </w:pPr>
            <w:r>
              <w:rPr>
                <w:b/>
                <w:bCs/>
                <w:color w:val="FFFFFF"/>
                <w:sz w:val="20"/>
                <w:szCs w:val="20"/>
              </w:rPr>
              <w:t xml:space="preserve">Treatment</w:t>
            </w:r>
          </w:p>
        </w:tc>
      </w:tr>
      <w:tr>
        <w:trPr>
          <w:cantSplit/>
        </w:trPr>
        <w:tc>
          <w:tcPr>
            <w:tcW w:type="dxa" w:w="3400"/>
            <w:tcMar>
              <w:top w:type="dxa" w:w="90"/>
              <w:left w:type="dxa" w:w="130"/>
              <w:bottom w:type="dxa" w:w="90"/>
              <w:right w:type="dxa" w:w="130"/>
            </w:tcMar>
          </w:tcPr>
          <w:p>
            <w:pPr>
              <w:spacing w:after="0" w:line="280"/>
            </w:pPr>
            <w:r>
              <w:rPr>
                <w:b w:val="false"/>
                <w:bCs w:val="false"/>
                <w:color w:val="0F2233"/>
                <w:sz w:val="20"/>
                <w:szCs w:val="20"/>
              </w:rPr>
              <w:t xml:space="preserve">Meal or event with a client, prospect or supplier</w:t>
            </w:r>
          </w:p>
        </w:tc>
        <w:tc>
          <w:tcPr>
            <w:tcW w:type="dxa" w:w="5960"/>
            <w:tcMar>
              <w:top w:type="dxa" w:w="90"/>
              <w:left w:type="dxa" w:w="130"/>
              <w:bottom w:type="dxa" w:w="90"/>
              <w:right w:type="dxa" w:w="130"/>
            </w:tcMar>
          </w:tcPr>
          <w:p>
            <w:pPr>
              <w:spacing w:after="0" w:line="280"/>
            </w:pPr>
            <w:r>
              <w:rPr>
                <w:b w:val="false"/>
                <w:bCs w:val="false"/>
                <w:color w:val="0F2233"/>
                <w:sz w:val="20"/>
                <w:szCs w:val="20"/>
              </w:rPr>
              <w:t xml:space="preserve">Allowed with prior approval above AED [X]. Record attendees and purpose</w:t>
            </w:r>
          </w:p>
        </w:tc>
      </w:tr>
      <w:tr>
        <w:trPr>
          <w:cantSplit/>
        </w:trPr>
        <w:tc>
          <w:tcPr>
            <w:tcW w:type="dxa" w:w="3400"/>
            <w:shd w:fill="F6F9FB" w:val="clear"/>
            <w:tcMar>
              <w:top w:type="dxa" w:w="90"/>
              <w:left w:type="dxa" w:w="130"/>
              <w:bottom w:type="dxa" w:w="90"/>
              <w:right w:type="dxa" w:w="130"/>
            </w:tcMar>
          </w:tcPr>
          <w:p>
            <w:pPr>
              <w:spacing w:after="0" w:line="280"/>
            </w:pPr>
            <w:r>
              <w:rPr>
                <w:b w:val="false"/>
                <w:bCs w:val="false"/>
                <w:color w:val="0F2233"/>
                <w:sz w:val="20"/>
                <w:szCs w:val="20"/>
              </w:rPr>
              <w:t xml:space="preserve">Staff social events</w:t>
            </w:r>
          </w:p>
        </w:tc>
        <w:tc>
          <w:tcPr>
            <w:tcW w:type="dxa" w:w="5960"/>
            <w:shd w:fill="F6F9FB" w:val="clear"/>
            <w:tcMar>
              <w:top w:type="dxa" w:w="90"/>
              <w:left w:type="dxa" w:w="130"/>
              <w:bottom w:type="dxa" w:w="90"/>
              <w:right w:type="dxa" w:w="130"/>
            </w:tcMar>
          </w:tcPr>
          <w:p>
            <w:pPr>
              <w:spacing w:after="0" w:line="280"/>
            </w:pPr>
            <w:r>
              <w:rPr>
                <w:b w:val="false"/>
                <w:bCs w:val="false"/>
                <w:color w:val="0F2233"/>
                <w:sz w:val="20"/>
                <w:szCs w:val="20"/>
              </w:rPr>
              <w:t xml:space="preserve">Allowed within an annual budget of AED [X]. Note: still entertainment for tax purposes</w:t>
            </w:r>
          </w:p>
        </w:tc>
      </w:tr>
      <w:tr>
        <w:trPr>
          <w:cantSplit/>
        </w:trPr>
        <w:tc>
          <w:tcPr>
            <w:tcW w:type="dxa" w:w="3400"/>
            <w:tcMar>
              <w:top w:type="dxa" w:w="90"/>
              <w:left w:type="dxa" w:w="130"/>
              <w:bottom w:type="dxa" w:w="90"/>
              <w:right w:type="dxa" w:w="130"/>
            </w:tcMar>
          </w:tcPr>
          <w:p>
            <w:pPr>
              <w:spacing w:after="0" w:line="280"/>
            </w:pPr>
            <w:r>
              <w:rPr>
                <w:b w:val="false"/>
                <w:bCs w:val="false"/>
                <w:color w:val="0F2233"/>
                <w:sz w:val="20"/>
                <w:szCs w:val="20"/>
              </w:rPr>
              <w:t xml:space="preserve">Gifts to clients</w:t>
            </w:r>
          </w:p>
        </w:tc>
        <w:tc>
          <w:tcPr>
            <w:tcW w:type="dxa" w:w="5960"/>
            <w:tcMar>
              <w:top w:type="dxa" w:w="90"/>
              <w:left w:type="dxa" w:w="130"/>
              <w:bottom w:type="dxa" w:w="90"/>
              <w:right w:type="dxa" w:w="130"/>
            </w:tcMar>
          </w:tcPr>
          <w:p>
            <w:pPr>
              <w:spacing w:after="0" w:line="280"/>
            </w:pPr>
            <w:r>
              <w:rPr>
                <w:b w:val="false"/>
                <w:bCs w:val="false"/>
                <w:color w:val="0F2233"/>
                <w:sz w:val="20"/>
                <w:szCs w:val="20"/>
              </w:rPr>
              <w:t xml:space="preserve">Allowed up to AED [X] per recipient per year, recorded by recipient</w:t>
            </w:r>
          </w:p>
        </w:tc>
      </w:tr>
      <w:tr>
        <w:trPr>
          <w:cantSplit/>
        </w:trPr>
        <w:tc>
          <w:tcPr>
            <w:tcW w:type="dxa" w:w="3400"/>
            <w:shd w:fill="F6F9FB" w:val="clear"/>
            <w:tcMar>
              <w:top w:type="dxa" w:w="90"/>
              <w:left w:type="dxa" w:w="130"/>
              <w:bottom w:type="dxa" w:w="90"/>
              <w:right w:type="dxa" w:w="130"/>
            </w:tcMar>
          </w:tcPr>
          <w:p>
            <w:pPr>
              <w:spacing w:after="0" w:line="280"/>
            </w:pPr>
            <w:r>
              <w:rPr>
                <w:b w:val="false"/>
                <w:bCs w:val="false"/>
                <w:color w:val="0F2233"/>
                <w:sz w:val="20"/>
                <w:szCs w:val="20"/>
              </w:rPr>
              <w:t xml:space="preserve">Gifts to public officials</w:t>
            </w:r>
          </w:p>
        </w:tc>
        <w:tc>
          <w:tcPr>
            <w:tcW w:type="dxa" w:w="5960"/>
            <w:shd w:fill="F6F9FB" w:val="clear"/>
            <w:tcMar>
              <w:top w:type="dxa" w:w="90"/>
              <w:left w:type="dxa" w:w="130"/>
              <w:bottom w:type="dxa" w:w="90"/>
              <w:right w:type="dxa" w:w="130"/>
            </w:tcMar>
          </w:tcPr>
          <w:p>
            <w:pPr>
              <w:spacing w:after="0" w:line="280"/>
            </w:pPr>
            <w:r>
              <w:rPr>
                <w:b w:val="false"/>
                <w:bCs w:val="false"/>
                <w:color w:val="0F2233"/>
                <w:sz w:val="20"/>
                <w:szCs w:val="20"/>
              </w:rPr>
              <w:t xml:space="preserve">Not permitted in any amount or form</w:t>
            </w:r>
          </w:p>
        </w:tc>
      </w:tr>
      <w:tr>
        <w:trPr>
          <w:cantSplit/>
        </w:trPr>
        <w:tc>
          <w:tcPr>
            <w:tcW w:type="dxa" w:w="3400"/>
            <w:tcMar>
              <w:top w:type="dxa" w:w="90"/>
              <w:left w:type="dxa" w:w="130"/>
              <w:bottom w:type="dxa" w:w="90"/>
              <w:right w:type="dxa" w:w="130"/>
            </w:tcMar>
          </w:tcPr>
          <w:p>
            <w:pPr>
              <w:spacing w:after="0" w:line="280"/>
            </w:pPr>
            <w:r>
              <w:rPr>
                <w:b w:val="false"/>
                <w:bCs w:val="false"/>
                <w:color w:val="0F2233"/>
                <w:sz w:val="20"/>
                <w:szCs w:val="20"/>
              </w:rPr>
              <w:t xml:space="preserve">Personal entertainment, family or friends</w:t>
            </w:r>
          </w:p>
        </w:tc>
        <w:tc>
          <w:tcPr>
            <w:tcW w:type="dxa" w:w="5960"/>
            <w:tcMar>
              <w:top w:type="dxa" w:w="90"/>
              <w:left w:type="dxa" w:w="130"/>
              <w:bottom w:type="dxa" w:w="90"/>
              <w:right w:type="dxa" w:w="130"/>
            </w:tcMar>
          </w:tcPr>
          <w:p>
            <w:pPr>
              <w:spacing w:after="0" w:line="280"/>
            </w:pPr>
            <w:r>
              <w:rPr>
                <w:b w:val="false"/>
                <w:bCs w:val="false"/>
                <w:color w:val="0F2233"/>
                <w:sz w:val="20"/>
                <w:szCs w:val="20"/>
              </w:rPr>
              <w:t xml:space="preserve">Not reimbursed, and not paid by company card in the first place</w:t>
            </w:r>
          </w:p>
        </w:tc>
      </w:tr>
    </w:tbl>
    <w:p>
      <w:pPr>
        <w:spacing w:after="100" w:line="300"/>
      </w:pPr>
      <w:r>
        <w:rPr>
          <w:color w:val="0F2233"/>
          <w:sz w:val="21"/>
          <w:szCs w:val="21"/>
        </w:rPr>
        <w:t xml:space="preserve"/>
      </w:r>
    </w:p>
    <w:p>
      <w:pPr>
        <w:pStyle w:val="Heading2"/>
        <w:spacing w:after="110" w:before="260"/>
      </w:pPr>
      <w:r>
        <w:t xml:space="preserve">3.3 Employee benefits and allowances</w:t>
      </w:r>
    </w:p>
    <w:p>
      <w:pPr>
        <w:spacing w:after="140" w:line="300"/>
      </w:pPr>
      <w:r>
        <w:rPr>
          <w:color w:val="0F2233"/>
          <w:sz w:val="21"/>
          <w:szCs w:val="21"/>
        </w:rPr>
        <w:t xml:space="preserve">Housing, schooling, transport and similar allowances are ordinarily deductible where they are contractual and part of the employment arrangement. Where a benefit is extended informally — to a family member, or as an occasional favour — it is not supported by a contractual entitlement, and treating it as deductible is a position that will not hold.</w:t>
      </w:r>
    </w:p>
    <w:p>
      <w:pPr>
        <w:pStyle w:val="ListParagraph"/>
        <w:numPr>
          <w:ilvl w:val="0"/>
          <w:numId w:val="2"/>
        </w:numPr>
        <w:spacing w:after="90" w:line="290"/>
      </w:pPr>
      <w:r>
        <w:rPr>
          <w:color w:val="0F2233"/>
          <w:sz w:val="21"/>
          <w:szCs w:val="21"/>
        </w:rPr>
        <w:t xml:space="preserve">Record every recurring allowance in the employment contract or in a written addendum to it.</w:t>
      </w:r>
    </w:p>
    <w:p>
      <w:pPr>
        <w:pStyle w:val="ListParagraph"/>
        <w:numPr>
          <w:ilvl w:val="0"/>
          <w:numId w:val="2"/>
        </w:numPr>
        <w:spacing w:after="90" w:line="290"/>
      </w:pPr>
      <w:r>
        <w:rPr>
          <w:color w:val="0F2233"/>
          <w:sz w:val="21"/>
          <w:szCs w:val="21"/>
        </w:rPr>
        <w:t xml:space="preserve">Where a benefit extends to family members, say so in the contract explicitly.</w:t>
      </w:r>
    </w:p>
    <w:p>
      <w:pPr>
        <w:pStyle w:val="ListParagraph"/>
        <w:numPr>
          <w:ilvl w:val="0"/>
          <w:numId w:val="2"/>
        </w:numPr>
        <w:spacing w:after="90" w:line="290"/>
      </w:pPr>
      <w:r>
        <w:rPr>
          <w:color w:val="0F2233"/>
          <w:sz w:val="21"/>
          <w:szCs w:val="21"/>
        </w:rPr>
        <w:t xml:space="preserve">Where it does not, treat the cost as non-deductible rather than arguing it later.</w:t>
      </w:r>
    </w:p>
    <w:p>
      <w:pPr>
        <w:pStyle w:val="Heading2"/>
        <w:spacing w:after="110" w:before="260"/>
      </w:pPr>
      <w:r>
        <w:t xml:space="preserve">3.4 What is never reimbursed</w:t>
      </w:r>
    </w:p>
    <w:p>
      <w:pPr>
        <w:spacing w:after="140" w:line="300"/>
      </w:pPr>
      <w:r>
        <w:rPr>
          <w:color w:val="0F2233"/>
          <w:sz w:val="21"/>
          <w:szCs w:val="21"/>
        </w:rPr>
        <w:t xml:space="preserve">This list is not a matter of company preference. The items below are non-deductible under Article 33 of the Corporate Tax Law, and paying them through the company creates a reconciling item at best.</w:t>
      </w:r>
    </w:p>
    <w:p>
      <w:pPr>
        <w:pStyle w:val="ListParagraph"/>
        <w:numPr>
          <w:ilvl w:val="0"/>
          <w:numId w:val="2"/>
        </w:numPr>
        <w:spacing w:after="90" w:line="290"/>
      </w:pPr>
      <w:r>
        <w:rPr>
          <w:color w:val="0F2233"/>
          <w:sz w:val="21"/>
          <w:szCs w:val="21"/>
        </w:rPr>
        <w:t xml:space="preserve">Fines and penalties, including traffic fines, other than amounts awarded as compensation for damage or breach of contract.</w:t>
      </w:r>
    </w:p>
    <w:p>
      <w:pPr>
        <w:pStyle w:val="ListParagraph"/>
        <w:numPr>
          <w:ilvl w:val="0"/>
          <w:numId w:val="2"/>
        </w:numPr>
        <w:spacing w:after="90" w:line="290"/>
      </w:pPr>
      <w:r>
        <w:rPr>
          <w:color w:val="0F2233"/>
          <w:sz w:val="21"/>
          <w:szCs w:val="21"/>
        </w:rPr>
        <w:t xml:space="preserve">Donations, grants or gifts to an entity that is not a Qualifying Public Benefit Entity.</w:t>
      </w:r>
    </w:p>
    <w:p>
      <w:pPr>
        <w:pStyle w:val="ListParagraph"/>
        <w:numPr>
          <w:ilvl w:val="0"/>
          <w:numId w:val="2"/>
        </w:numPr>
        <w:spacing w:after="90" w:line="290"/>
      </w:pPr>
      <w:r>
        <w:rPr>
          <w:color w:val="0F2233"/>
          <w:sz w:val="21"/>
          <w:szCs w:val="21"/>
        </w:rPr>
        <w:t xml:space="preserve">Any payment that would be unlawful under UAE law or under the law of the country where it is made.</w:t>
      </w:r>
    </w:p>
    <w:p>
      <w:pPr>
        <w:pStyle w:val="ListParagraph"/>
        <w:numPr>
          <w:ilvl w:val="0"/>
          <w:numId w:val="2"/>
        </w:numPr>
        <w:spacing w:after="90" w:line="290"/>
      </w:pPr>
      <w:r>
        <w:rPr>
          <w:color w:val="0F2233"/>
          <w:sz w:val="21"/>
          <w:szCs w:val="21"/>
        </w:rPr>
        <w:t xml:space="preserve">Dividends and distributions of profit to shareholders.</w:t>
      </w:r>
    </w:p>
    <w:p>
      <w:pPr>
        <w:pStyle w:val="ListParagraph"/>
        <w:numPr>
          <w:ilvl w:val="0"/>
          <w:numId w:val="2"/>
        </w:numPr>
        <w:spacing w:after="90" w:line="290"/>
      </w:pPr>
      <w:r>
        <w:rPr>
          <w:color w:val="0F2233"/>
          <w:sz w:val="21"/>
          <w:szCs w:val="21"/>
        </w:rPr>
        <w:t xml:space="preserve">Corporate Tax itself.</w:t>
      </w:r>
    </w:p>
    <w:p>
      <w:pPr>
        <w:pStyle w:val="ListParagraph"/>
        <w:numPr>
          <w:ilvl w:val="0"/>
          <w:numId w:val="2"/>
        </w:numPr>
        <w:spacing w:after="90" w:line="290"/>
      </w:pPr>
      <w:r>
        <w:rPr>
          <w:color w:val="0F2233"/>
          <w:sz w:val="21"/>
          <w:szCs w:val="21"/>
        </w:rPr>
        <w:t xml:space="preserve">Expenditure not incurred for the purposes of the business.</w:t>
      </w:r>
    </w:p>
    <w:p>
      <w:pPr>
        <w:spacing w:after="100" w:line="300"/>
      </w:pPr>
      <w:r>
        <w:rPr>
          <w:color w:val="0F2233"/>
          <w:sz w:val="21"/>
          <w:szCs w:val="21"/>
        </w:rPr>
        <w:t xml:space="preserve"/>
      </w:r>
    </w:p>
    <w:p>
      <w:pPr>
        <w:shd w:fill="FBF0DC" w:val="clear"/>
        <w:spacing w:after="140" w:line="300"/>
      </w:pPr>
      <w:r>
        <w:rPr>
          <w:b/>
          <w:bCs/>
          <w:color w:val="8A5209"/>
          <w:sz w:val="21"/>
          <w:szCs w:val="21"/>
        </w:rPr>
        <w:t xml:space="preserve">Add your own items here: whatever your people have tried to claim and been refused. A list drawn from actual arguments is read; a list copied from a template is not.</w:t>
      </w:r>
    </w:p>
    <w:p>
      <w:r>
        <w:br w:type="page"/>
      </w:r>
    </w:p>
    <w:p>
      <w:pPr>
        <w:pStyle w:val="Heading1"/>
        <w:spacing w:after="140" w:before="320"/>
      </w:pPr>
      <w:r>
        <w:t xml:space="preserve">4. Apportionment where an expense is mixed</w:t>
      </w:r>
    </w:p>
    <w:p>
      <w:pPr>
        <w:spacing w:after="140" w:line="300"/>
      </w:pPr>
      <w:r>
        <w:rPr>
          <w:color w:val="0F2233"/>
          <w:sz w:val="21"/>
          <w:szCs w:val="21"/>
        </w:rPr>
        <w:t xml:space="preserve">A trip that combines a client meeting with three days of holiday, a phone used for both work and personal calls, a car used both ways. These are ordinary and they are where policies go quiet, which is exactly why they need a stated method.</w:t>
      </w:r>
    </w:p>
    <w:p>
      <w:pPr>
        <w:spacing w:after="100" w:line="300"/>
      </w:pPr>
      <w:r>
        <w:rPr>
          <w:color w:val="0F2233"/>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4700"/>
        <w:gridCol w:w="1760"/>
      </w:tblGrid>
      <w:tr>
        <w:trPr>
          <w:tblHeader/>
        </w:trPr>
        <w:tc>
          <w:tcPr>
            <w:tcW w:type="dxa" w:w="2900"/>
            <w:shd w:fill="0F6E56" w:val="clear"/>
            <w:tcMar>
              <w:top w:type="dxa" w:w="90"/>
              <w:left w:type="dxa" w:w="130"/>
              <w:bottom w:type="dxa" w:w="90"/>
              <w:right w:type="dxa" w:w="130"/>
            </w:tcMar>
          </w:tcPr>
          <w:p>
            <w:pPr>
              <w:spacing w:after="0" w:line="280"/>
            </w:pPr>
            <w:r>
              <w:rPr>
                <w:b/>
                <w:bCs/>
                <w:color w:val="FFFFFF"/>
                <w:sz w:val="20"/>
                <w:szCs w:val="20"/>
              </w:rPr>
              <w:t xml:space="preserve">Expense</w:t>
            </w:r>
          </w:p>
        </w:tc>
        <w:tc>
          <w:tcPr>
            <w:tcW w:type="dxa" w:w="4700"/>
            <w:shd w:fill="0F6E56" w:val="clear"/>
            <w:tcMar>
              <w:top w:type="dxa" w:w="90"/>
              <w:left w:type="dxa" w:w="130"/>
              <w:bottom w:type="dxa" w:w="90"/>
              <w:right w:type="dxa" w:w="130"/>
            </w:tcMar>
          </w:tcPr>
          <w:p>
            <w:pPr>
              <w:spacing w:after="0" w:line="280"/>
            </w:pPr>
            <w:r>
              <w:rPr>
                <w:b/>
                <w:bCs/>
                <w:color w:val="FFFFFF"/>
                <w:sz w:val="20"/>
                <w:szCs w:val="20"/>
              </w:rPr>
              <w:t xml:space="preserve">Basis of apportionment</w:t>
            </w:r>
          </w:p>
        </w:tc>
        <w:tc>
          <w:tcPr>
            <w:tcW w:type="dxa" w:w="1760"/>
            <w:shd w:fill="0F6E56" w:val="clear"/>
            <w:tcMar>
              <w:top w:type="dxa" w:w="90"/>
              <w:left w:type="dxa" w:w="130"/>
              <w:bottom w:type="dxa" w:w="90"/>
              <w:right w:type="dxa" w:w="130"/>
            </w:tcMar>
          </w:tcPr>
          <w:p>
            <w:pPr>
              <w:spacing w:after="0" w:line="280"/>
            </w:pPr>
            <w:r>
              <w:rPr>
                <w:b/>
                <w:bCs/>
                <w:color w:val="FFFFFF"/>
                <w:sz w:val="20"/>
                <w:szCs w:val="20"/>
              </w:rPr>
              <w:t xml:space="preserve">Who decides</w:t>
            </w:r>
          </w:p>
        </w:tc>
      </w:tr>
      <w:tr>
        <w:trPr>
          <w:cantSplit/>
        </w:trPr>
        <w:tc>
          <w:tcPr>
            <w:tcW w:type="dxa" w:w="2900"/>
            <w:tcMar>
              <w:top w:type="dxa" w:w="90"/>
              <w:left w:type="dxa" w:w="130"/>
              <w:bottom w:type="dxa" w:w="90"/>
              <w:right w:type="dxa" w:w="130"/>
            </w:tcMar>
          </w:tcPr>
          <w:p>
            <w:pPr>
              <w:spacing w:after="0" w:line="280"/>
            </w:pPr>
            <w:r>
              <w:rPr>
                <w:b w:val="false"/>
                <w:bCs w:val="false"/>
                <w:color w:val="0F2233"/>
                <w:sz w:val="20"/>
                <w:szCs w:val="20"/>
              </w:rPr>
              <w:t xml:space="preserve">Combined business and personal travel</w:t>
            </w:r>
          </w:p>
        </w:tc>
        <w:tc>
          <w:tcPr>
            <w:tcW w:type="dxa" w:w="4700"/>
            <w:tcMar>
              <w:top w:type="dxa" w:w="90"/>
              <w:left w:type="dxa" w:w="130"/>
              <w:bottom w:type="dxa" w:w="90"/>
              <w:right w:type="dxa" w:w="130"/>
            </w:tcMar>
          </w:tcPr>
          <w:p>
            <w:pPr>
              <w:spacing w:after="0" w:line="280"/>
            </w:pPr>
            <w:r>
              <w:rPr>
                <w:b w:val="false"/>
                <w:bCs w:val="false"/>
                <w:color w:val="0F2233"/>
                <w:sz w:val="20"/>
                <w:szCs w:val="20"/>
              </w:rPr>
              <w:t xml:space="preserve">Business days as a proportion of total days; the flight is claimed only where the trip would have been made anyway</w:t>
            </w:r>
          </w:p>
        </w:tc>
        <w:tc>
          <w:tcPr>
            <w:tcW w:type="dxa" w:w="1760"/>
            <w:tcMar>
              <w:top w:type="dxa" w:w="90"/>
              <w:left w:type="dxa" w:w="130"/>
              <w:bottom w:type="dxa" w:w="90"/>
              <w:right w:type="dxa" w:w="130"/>
            </w:tcMar>
          </w:tcPr>
          <w:p>
            <w:pPr>
              <w:spacing w:after="0" w:line="280"/>
            </w:pPr>
            <w:r>
              <w:rPr>
                <w:b w:val="false"/>
                <w:bCs w:val="false"/>
                <w:color w:val="0F2233"/>
                <w:sz w:val="20"/>
                <w:szCs w:val="20"/>
              </w:rPr>
              <w:t xml:space="preserve">[finance director]</w:t>
            </w:r>
          </w:p>
        </w:tc>
      </w:tr>
      <w:tr>
        <w:trPr>
          <w:cantSplit/>
        </w:trPr>
        <w:tc>
          <w:tcPr>
            <w:tcW w:type="dxa" w:w="2900"/>
            <w:shd w:fill="F6F9FB" w:val="clear"/>
            <w:tcMar>
              <w:top w:type="dxa" w:w="90"/>
              <w:left w:type="dxa" w:w="130"/>
              <w:bottom w:type="dxa" w:w="90"/>
              <w:right w:type="dxa" w:w="130"/>
            </w:tcMar>
          </w:tcPr>
          <w:p>
            <w:pPr>
              <w:spacing w:after="0" w:line="280"/>
            </w:pPr>
            <w:r>
              <w:rPr>
                <w:b w:val="false"/>
                <w:bCs w:val="false"/>
                <w:color w:val="0F2233"/>
                <w:sz w:val="20"/>
                <w:szCs w:val="20"/>
              </w:rPr>
              <w:t xml:space="preserve">Mobile and internet</w:t>
            </w:r>
          </w:p>
        </w:tc>
        <w:tc>
          <w:tcPr>
            <w:tcW w:type="dxa" w:w="4700"/>
            <w:shd w:fill="F6F9FB" w:val="clear"/>
            <w:tcMar>
              <w:top w:type="dxa" w:w="90"/>
              <w:left w:type="dxa" w:w="130"/>
              <w:bottom w:type="dxa" w:w="90"/>
              <w:right w:type="dxa" w:w="130"/>
            </w:tcMar>
          </w:tcPr>
          <w:p>
            <w:pPr>
              <w:spacing w:after="0" w:line="280"/>
            </w:pPr>
            <w:r>
              <w:rPr>
                <w:b w:val="false"/>
                <w:bCs w:val="false"/>
                <w:color w:val="0F2233"/>
                <w:sz w:val="20"/>
                <w:szCs w:val="20"/>
              </w:rPr>
              <w:t xml:space="preserve">A fixed business percentage of [X]%, reviewed annually</w:t>
            </w:r>
          </w:p>
        </w:tc>
        <w:tc>
          <w:tcPr>
            <w:tcW w:type="dxa" w:w="1760"/>
            <w:shd w:fill="F6F9FB" w:val="clear"/>
            <w:tcMar>
              <w:top w:type="dxa" w:w="90"/>
              <w:left w:type="dxa" w:w="130"/>
              <w:bottom w:type="dxa" w:w="90"/>
              <w:right w:type="dxa" w:w="130"/>
            </w:tcMar>
          </w:tcPr>
          <w:p>
            <w:pPr>
              <w:spacing w:after="0" w:line="280"/>
            </w:pPr>
            <w:r>
              <w:rPr>
                <w:b w:val="false"/>
                <w:bCs w:val="false"/>
                <w:color w:val="0F2233"/>
                <w:sz w:val="20"/>
                <w:szCs w:val="20"/>
              </w:rPr>
              <w:t xml:space="preserve">[finance director]</w:t>
            </w:r>
          </w:p>
        </w:tc>
      </w:tr>
      <w:tr>
        <w:trPr>
          <w:cantSplit/>
        </w:trPr>
        <w:tc>
          <w:tcPr>
            <w:tcW w:type="dxa" w:w="2900"/>
            <w:tcMar>
              <w:top w:type="dxa" w:w="90"/>
              <w:left w:type="dxa" w:w="130"/>
              <w:bottom w:type="dxa" w:w="90"/>
              <w:right w:type="dxa" w:w="130"/>
            </w:tcMar>
          </w:tcPr>
          <w:p>
            <w:pPr>
              <w:spacing w:after="0" w:line="280"/>
            </w:pPr>
            <w:r>
              <w:rPr>
                <w:b w:val="false"/>
                <w:bCs w:val="false"/>
                <w:color w:val="0F2233"/>
                <w:sz w:val="20"/>
                <w:szCs w:val="20"/>
              </w:rPr>
              <w:t xml:space="preserve">Vehicle used for both purposes</w:t>
            </w:r>
          </w:p>
        </w:tc>
        <w:tc>
          <w:tcPr>
            <w:tcW w:type="dxa" w:w="4700"/>
            <w:tcMar>
              <w:top w:type="dxa" w:w="90"/>
              <w:left w:type="dxa" w:w="130"/>
              <w:bottom w:type="dxa" w:w="90"/>
              <w:right w:type="dxa" w:w="130"/>
            </w:tcMar>
          </w:tcPr>
          <w:p>
            <w:pPr>
              <w:spacing w:after="0" w:line="280"/>
            </w:pPr>
            <w:r>
              <w:rPr>
                <w:b w:val="false"/>
                <w:bCs w:val="false"/>
                <w:color w:val="0F2233"/>
                <w:sz w:val="20"/>
                <w:szCs w:val="20"/>
              </w:rPr>
              <w:t xml:space="preserve">Mileage log, business kilometres over total</w:t>
            </w:r>
          </w:p>
        </w:tc>
        <w:tc>
          <w:tcPr>
            <w:tcW w:type="dxa" w:w="1760"/>
            <w:tcMar>
              <w:top w:type="dxa" w:w="90"/>
              <w:left w:type="dxa" w:w="130"/>
              <w:bottom w:type="dxa" w:w="90"/>
              <w:right w:type="dxa" w:w="130"/>
            </w:tcMar>
          </w:tcPr>
          <w:p>
            <w:pPr>
              <w:spacing w:after="0" w:line="280"/>
            </w:pPr>
            <w:r>
              <w:rPr>
                <w:b w:val="false"/>
                <w:bCs w:val="false"/>
                <w:color w:val="0F2233"/>
                <w:sz w:val="20"/>
                <w:szCs w:val="20"/>
              </w:rPr>
              <w:t xml:space="preserve">Employee records, [finance] reviews</w:t>
            </w:r>
          </w:p>
        </w:tc>
      </w:tr>
      <w:tr>
        <w:trPr>
          <w:cantSplit/>
        </w:trPr>
        <w:tc>
          <w:tcPr>
            <w:tcW w:type="dxa" w:w="2900"/>
            <w:shd w:fill="F6F9FB" w:val="clear"/>
            <w:tcMar>
              <w:top w:type="dxa" w:w="90"/>
              <w:left w:type="dxa" w:w="130"/>
              <w:bottom w:type="dxa" w:w="90"/>
              <w:right w:type="dxa" w:w="130"/>
            </w:tcMar>
          </w:tcPr>
          <w:p>
            <w:pPr>
              <w:spacing w:after="0" w:line="280"/>
            </w:pPr>
            <w:r>
              <w:rPr>
                <w:b w:val="false"/>
                <w:bCs w:val="false"/>
                <w:color w:val="0F2233"/>
                <w:sz w:val="20"/>
                <w:szCs w:val="20"/>
              </w:rPr>
              <w:t xml:space="preserve">Home office costs</w:t>
            </w:r>
          </w:p>
        </w:tc>
        <w:tc>
          <w:tcPr>
            <w:tcW w:type="dxa" w:w="4700"/>
            <w:shd w:fill="F6F9FB" w:val="clear"/>
            <w:tcMar>
              <w:top w:type="dxa" w:w="90"/>
              <w:left w:type="dxa" w:w="130"/>
              <w:bottom w:type="dxa" w:w="90"/>
              <w:right w:type="dxa" w:w="130"/>
            </w:tcMar>
          </w:tcPr>
          <w:p>
            <w:pPr>
              <w:spacing w:after="0" w:line="280"/>
            </w:pPr>
            <w:r>
              <w:rPr>
                <w:b w:val="false"/>
                <w:bCs w:val="false"/>
                <w:color w:val="0F2233"/>
                <w:sz w:val="20"/>
                <w:szCs w:val="20"/>
              </w:rPr>
              <w:t xml:space="preserve">Stated method, applied consistently to everyone</w:t>
            </w:r>
          </w:p>
        </w:tc>
        <w:tc>
          <w:tcPr>
            <w:tcW w:type="dxa" w:w="1760"/>
            <w:shd w:fill="F6F9FB" w:val="clear"/>
            <w:tcMar>
              <w:top w:type="dxa" w:w="90"/>
              <w:left w:type="dxa" w:w="130"/>
              <w:bottom w:type="dxa" w:w="90"/>
              <w:right w:type="dxa" w:w="130"/>
            </w:tcMar>
          </w:tcPr>
          <w:p>
            <w:pPr>
              <w:spacing w:after="0" w:line="280"/>
            </w:pPr>
            <w:r>
              <w:rPr>
                <w:b w:val="false"/>
                <w:bCs w:val="false"/>
                <w:color w:val="0F2233"/>
                <w:sz w:val="20"/>
                <w:szCs w:val="20"/>
              </w:rPr>
              <w:t xml:space="preserve">[finance director]</w:t>
            </w:r>
          </w:p>
        </w:tc>
      </w:tr>
    </w:tbl>
    <w:p>
      <w:pPr>
        <w:spacing w:after="100" w:line="300"/>
      </w:pPr>
      <w:r>
        <w:rPr>
          <w:color w:val="0F2233"/>
          <w:sz w:val="21"/>
          <w:szCs w:val="21"/>
        </w:rPr>
        <w:t xml:space="preserve"/>
      </w:r>
    </w:p>
    <w:p>
      <w:pPr>
        <w:spacing w:after="140" w:line="300"/>
      </w:pPr>
      <w:r>
        <w:rPr>
          <w:color w:val="0F2233"/>
          <w:sz w:val="21"/>
          <w:szCs w:val="21"/>
        </w:rPr>
        <w:t xml:space="preserve">The method matters less than its consistency. Any defensible basis applied the same way every period is stronger than a more precise basis applied differently each time — because the second one cannot be shown to be a method at all.</w:t>
      </w:r>
    </w:p>
    <w:p>
      <w:pPr>
        <w:pStyle w:val="Heading1"/>
        <w:spacing w:after="140" w:before="320"/>
      </w:pPr>
      <w:r>
        <w:t xml:space="preserve">5. Documentation</w:t>
      </w:r>
    </w:p>
    <w:p>
      <w:pPr>
        <w:spacing w:after="140" w:line="300"/>
      </w:pPr>
      <w:r>
        <w:rPr>
          <w:color w:val="0F2233"/>
          <w:sz w:val="21"/>
          <w:szCs w:val="21"/>
        </w:rPr>
        <w:t xml:space="preserve">What has to be kept, and for how long.</w:t>
      </w:r>
    </w:p>
    <w:p>
      <w:pPr>
        <w:spacing w:after="100" w:line="300"/>
      </w:pPr>
      <w:r>
        <w:rPr>
          <w:color w:val="0F2233"/>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0F6E56" w:val="clear"/>
            <w:tcMar>
              <w:top w:type="dxa" w:w="90"/>
              <w:left w:type="dxa" w:w="130"/>
              <w:bottom w:type="dxa" w:w="90"/>
              <w:right w:type="dxa" w:w="130"/>
            </w:tcMar>
          </w:tcPr>
          <w:p>
            <w:pPr>
              <w:spacing w:after="0" w:line="280"/>
            </w:pPr>
            <w:r>
              <w:rPr>
                <w:b/>
                <w:bCs/>
                <w:color w:val="FFFFFF"/>
                <w:sz w:val="20"/>
                <w:szCs w:val="20"/>
              </w:rPr>
              <w:t xml:space="preserve">Requirement</w:t>
            </w:r>
          </w:p>
        </w:tc>
        <w:tc>
          <w:tcPr>
            <w:tcW w:type="dxa" w:w="6760"/>
            <w:shd w:fill="0F6E56" w:val="clear"/>
            <w:tcMar>
              <w:top w:type="dxa" w:w="90"/>
              <w:left w:type="dxa" w:w="130"/>
              <w:bottom w:type="dxa" w:w="90"/>
              <w:right w:type="dxa" w:w="130"/>
            </w:tcMar>
          </w:tcPr>
          <w:p>
            <w:pPr>
              <w:spacing w:after="0" w:line="280"/>
            </w:pPr>
            <w:r>
              <w:rPr>
                <w:b/>
                <w:bCs/>
                <w:color w:val="FFFFFF"/>
                <w:sz w:val="20"/>
                <w:szCs w:val="20"/>
              </w:rPr>
              <w:t xml:space="preserve">Detail</w:t>
            </w:r>
          </w:p>
        </w:tc>
      </w:tr>
      <w:tr>
        <w:trPr>
          <w:cantSplit/>
        </w:trPr>
        <w:tc>
          <w:tcPr>
            <w:tcW w:type="dxa" w:w="2600"/>
            <w:tcMar>
              <w:top w:type="dxa" w:w="90"/>
              <w:left w:type="dxa" w:w="130"/>
              <w:bottom w:type="dxa" w:w="90"/>
              <w:right w:type="dxa" w:w="130"/>
            </w:tcMar>
          </w:tcPr>
          <w:p>
            <w:pPr>
              <w:spacing w:after="0" w:line="280"/>
            </w:pPr>
            <w:r>
              <w:rPr>
                <w:b w:val="false"/>
                <w:bCs w:val="false"/>
                <w:color w:val="0F2233"/>
                <w:sz w:val="20"/>
                <w:szCs w:val="20"/>
              </w:rPr>
              <w:t xml:space="preserve">Original document</w:t>
            </w:r>
          </w:p>
        </w:tc>
        <w:tc>
          <w:tcPr>
            <w:tcW w:type="dxa" w:w="6760"/>
            <w:tcMar>
              <w:top w:type="dxa" w:w="90"/>
              <w:left w:type="dxa" w:w="130"/>
              <w:bottom w:type="dxa" w:w="90"/>
              <w:right w:type="dxa" w:w="130"/>
            </w:tcMar>
          </w:tcPr>
          <w:p>
            <w:pPr>
              <w:spacing w:after="0" w:line="280"/>
            </w:pPr>
            <w:r>
              <w:rPr>
                <w:b w:val="false"/>
                <w:bCs w:val="false"/>
                <w:color w:val="0F2233"/>
                <w:sz w:val="20"/>
                <w:szCs w:val="20"/>
              </w:rPr>
              <w:t xml:space="preserve">A tax invoice where the supplier is VAT-registered; a receipt otherwise. A card slip alone is not sufficient — it shows payment, not what was bought</w:t>
            </w:r>
          </w:p>
        </w:tc>
      </w:tr>
      <w:tr>
        <w:trPr>
          <w:cantSplit/>
        </w:trPr>
        <w:tc>
          <w:tcPr>
            <w:tcW w:type="dxa" w:w="2600"/>
            <w:shd w:fill="F6F9FB" w:val="clear"/>
            <w:tcMar>
              <w:top w:type="dxa" w:w="90"/>
              <w:left w:type="dxa" w:w="130"/>
              <w:bottom w:type="dxa" w:w="90"/>
              <w:right w:type="dxa" w:w="130"/>
            </w:tcMar>
          </w:tcPr>
          <w:p>
            <w:pPr>
              <w:spacing w:after="0" w:line="280"/>
            </w:pPr>
            <w:r>
              <w:rPr>
                <w:b w:val="false"/>
                <w:bCs w:val="false"/>
                <w:color w:val="0F2233"/>
                <w:sz w:val="20"/>
                <w:szCs w:val="20"/>
              </w:rPr>
              <w:t xml:space="preserve">Business purpose</w:t>
            </w:r>
          </w:p>
        </w:tc>
        <w:tc>
          <w:tcPr>
            <w:tcW w:type="dxa" w:w="6760"/>
            <w:shd w:fill="F6F9FB" w:val="clear"/>
            <w:tcMar>
              <w:top w:type="dxa" w:w="90"/>
              <w:left w:type="dxa" w:w="130"/>
              <w:bottom w:type="dxa" w:w="90"/>
              <w:right w:type="dxa" w:w="130"/>
            </w:tcMar>
          </w:tcPr>
          <w:p>
            <w:pPr>
              <w:spacing w:after="0" w:line="280"/>
            </w:pPr>
            <w:r>
              <w:rPr>
                <w:b w:val="false"/>
                <w:bCs w:val="false"/>
                <w:color w:val="0F2233"/>
                <w:sz w:val="20"/>
                <w:szCs w:val="20"/>
              </w:rPr>
              <w:t xml:space="preserve">Recorded on the claim at the time. "Client lunch" is not a purpose; "lunch with [name], [company], re renewal of the maintenance contract" is</w:t>
            </w:r>
          </w:p>
        </w:tc>
      </w:tr>
      <w:tr>
        <w:trPr>
          <w:cantSplit/>
        </w:trPr>
        <w:tc>
          <w:tcPr>
            <w:tcW w:type="dxa" w:w="2600"/>
            <w:tcMar>
              <w:top w:type="dxa" w:w="90"/>
              <w:left w:type="dxa" w:w="130"/>
              <w:bottom w:type="dxa" w:w="90"/>
              <w:right w:type="dxa" w:w="130"/>
            </w:tcMar>
          </w:tcPr>
          <w:p>
            <w:pPr>
              <w:spacing w:after="0" w:line="280"/>
            </w:pPr>
            <w:r>
              <w:rPr>
                <w:b w:val="false"/>
                <w:bCs w:val="false"/>
                <w:color w:val="0F2233"/>
                <w:sz w:val="20"/>
                <w:szCs w:val="20"/>
              </w:rPr>
              <w:t xml:space="preserve">Retention</w:t>
            </w:r>
          </w:p>
        </w:tc>
        <w:tc>
          <w:tcPr>
            <w:tcW w:type="dxa" w:w="6760"/>
            <w:tcMar>
              <w:top w:type="dxa" w:w="90"/>
              <w:left w:type="dxa" w:w="130"/>
              <w:bottom w:type="dxa" w:w="90"/>
              <w:right w:type="dxa" w:w="130"/>
            </w:tcMar>
          </w:tcPr>
          <w:p>
            <w:pPr>
              <w:spacing w:after="0" w:line="280"/>
            </w:pPr>
            <w:r>
              <w:rPr>
                <w:b w:val="false"/>
                <w:bCs w:val="false"/>
                <w:color w:val="0F2233"/>
                <w:sz w:val="20"/>
                <w:szCs w:val="20"/>
              </w:rPr>
              <w:t xml:space="preserve">Keep records for at least 7 years from the end of the tax period. Check the current requirement — retention periods are set by regulation and change</w:t>
            </w:r>
          </w:p>
        </w:tc>
      </w:tr>
      <w:tr>
        <w:trPr>
          <w:cantSplit/>
        </w:trPr>
        <w:tc>
          <w:tcPr>
            <w:tcW w:type="dxa" w:w="2600"/>
            <w:shd w:fill="F6F9FB" w:val="clear"/>
            <w:tcMar>
              <w:top w:type="dxa" w:w="90"/>
              <w:left w:type="dxa" w:w="130"/>
              <w:bottom w:type="dxa" w:w="90"/>
              <w:right w:type="dxa" w:w="130"/>
            </w:tcMar>
          </w:tcPr>
          <w:p>
            <w:pPr>
              <w:spacing w:after="0" w:line="280"/>
            </w:pPr>
            <w:r>
              <w:rPr>
                <w:b w:val="false"/>
                <w:bCs w:val="false"/>
                <w:color w:val="0F2233"/>
                <w:sz w:val="20"/>
                <w:szCs w:val="20"/>
              </w:rPr>
              <w:t xml:space="preserve">Format</w:t>
            </w:r>
          </w:p>
        </w:tc>
        <w:tc>
          <w:tcPr>
            <w:tcW w:type="dxa" w:w="6760"/>
            <w:shd w:fill="F6F9FB" w:val="clear"/>
            <w:tcMar>
              <w:top w:type="dxa" w:w="90"/>
              <w:left w:type="dxa" w:w="130"/>
              <w:bottom w:type="dxa" w:w="90"/>
              <w:right w:type="dxa" w:w="130"/>
            </w:tcMar>
          </w:tcPr>
          <w:p>
            <w:pPr>
              <w:spacing w:after="0" w:line="280"/>
            </w:pPr>
            <w:r>
              <w:rPr>
                <w:b w:val="false"/>
                <w:bCs w:val="false"/>
                <w:color w:val="0F2233"/>
                <w:sz w:val="20"/>
                <w:szCs w:val="20"/>
              </w:rPr>
              <w:t xml:space="preserve">Scans and photographs are acceptable provided they are legible, complete and stored where they can be retrieved by period</w:t>
            </w:r>
          </w:p>
        </w:tc>
      </w:tr>
    </w:tbl>
    <w:p>
      <w:pPr>
        <w:spacing w:after="100" w:line="300"/>
      </w:pPr>
      <w:r>
        <w:rPr>
          <w:color w:val="0F2233"/>
          <w:sz w:val="21"/>
          <w:szCs w:val="21"/>
        </w:rPr>
        <w:t xml:space="preserve"/>
      </w:r>
    </w:p>
    <w:p>
      <w:pPr>
        <w:shd w:fill="FBF0DC" w:val="clear"/>
        <w:spacing w:after="140" w:line="300"/>
      </w:pPr>
      <w:r>
        <w:rPr>
          <w:b/>
          <w:bCs/>
          <w:color w:val="8A5209"/>
          <w:sz w:val="21"/>
          <w:szCs w:val="21"/>
        </w:rPr>
        <w:t xml:space="preserve">Confirm the retention period against the current Tax Procedures Law before issuing this. We have written seven years as a working figure; do not publish it without checking.</w:t>
      </w:r>
    </w:p>
    <w:p>
      <w:pPr>
        <w:pStyle w:val="Heading1"/>
        <w:spacing w:after="140" w:before="320"/>
      </w:pPr>
      <w:r>
        <w:t xml:space="preserve">6. Claims and payment</w:t>
      </w:r>
    </w:p>
    <w:p>
      <w:pPr>
        <w:pStyle w:val="ListParagraph"/>
        <w:numPr>
          <w:ilvl w:val="0"/>
          <w:numId w:val="2"/>
        </w:numPr>
        <w:spacing w:after="90" w:line="290"/>
      </w:pPr>
      <w:r>
        <w:rPr>
          <w:color w:val="0F2233"/>
          <w:sz w:val="21"/>
          <w:szCs w:val="21"/>
        </w:rPr>
        <w:t xml:space="preserve">Claims are submitted within [30] days of the expense being incurred. Later claims are paid at the discretion of [finance director].</w:t>
      </w:r>
    </w:p>
    <w:p>
      <w:pPr>
        <w:pStyle w:val="ListParagraph"/>
        <w:numPr>
          <w:ilvl w:val="0"/>
          <w:numId w:val="2"/>
        </w:numPr>
        <w:spacing w:after="90" w:line="290"/>
      </w:pPr>
      <w:r>
        <w:rPr>
          <w:color w:val="0F2233"/>
          <w:sz w:val="21"/>
          <w:szCs w:val="21"/>
        </w:rPr>
        <w:t xml:space="preserve">Claims are paid on the [next payroll run / within X working days of approval].</w:t>
      </w:r>
    </w:p>
    <w:p>
      <w:pPr>
        <w:pStyle w:val="ListParagraph"/>
        <w:numPr>
          <w:ilvl w:val="0"/>
          <w:numId w:val="2"/>
        </w:numPr>
        <w:spacing w:after="90" w:line="290"/>
      </w:pPr>
      <w:r>
        <w:rPr>
          <w:color w:val="0F2233"/>
          <w:sz w:val="21"/>
          <w:szCs w:val="21"/>
        </w:rPr>
        <w:t xml:space="preserve">Company cards are for company expenses only. A personal expense on a company card is reported the same week and repaid.</w:t>
      </w:r>
    </w:p>
    <w:p>
      <w:pPr>
        <w:pStyle w:val="ListParagraph"/>
        <w:numPr>
          <w:ilvl w:val="0"/>
          <w:numId w:val="2"/>
        </w:numPr>
        <w:spacing w:after="90" w:line="290"/>
      </w:pPr>
      <w:r>
        <w:rPr>
          <w:color w:val="0F2233"/>
          <w:sz w:val="21"/>
          <w:szCs w:val="21"/>
        </w:rPr>
        <w:t xml:space="preserve">Cash advances are [permitted with prior approval above AED X / not permitted].</w:t>
      </w:r>
    </w:p>
    <w:p>
      <w:pPr>
        <w:pStyle w:val="Heading1"/>
        <w:spacing w:after="140" w:before="320"/>
      </w:pPr>
      <w:r>
        <w:t xml:space="preserve">7. When the policy is not followed</w:t>
      </w:r>
    </w:p>
    <w:p>
      <w:pPr>
        <w:spacing w:after="140" w:line="300"/>
      </w:pPr>
      <w:r>
        <w:rPr>
          <w:color w:val="0F2233"/>
          <w:sz w:val="21"/>
          <w:szCs w:val="21"/>
        </w:rPr>
        <w:t xml:space="preserve">State the consequence, or the policy is a suggestion. Suggested wording:</w:t>
      </w:r>
    </w:p>
    <w:p>
      <w:pPr>
        <w:spacing w:after="140" w:line="300"/>
      </w:pPr>
      <w:r>
        <w:rPr>
          <w:i/>
          <w:iCs/>
          <w:color w:val="0F2233"/>
          <w:sz w:val="21"/>
          <w:szCs w:val="21"/>
        </w:rPr>
        <w:t xml:space="preserve">A claim that does not meet this policy is not reimbursed. A repeated or deliberate breach is a disciplinary matter. An expense that has been approved contrary to this policy remains a cost to the company, and the approver is accountable for it.</w:t>
      </w:r>
    </w:p>
    <w:p>
      <w:pPr>
        <w:pStyle w:val="Heading1"/>
        <w:spacing w:after="140" w:before="320"/>
      </w:pPr>
      <w:r>
        <w:t xml:space="preserve">8. Review</w:t>
      </w:r>
    </w:p>
    <w:p>
      <w:pPr>
        <w:spacing w:after="140" w:line="300"/>
      </w:pPr>
      <w:r>
        <w:rPr>
          <w:color w:val="0F2233"/>
          <w:sz w:val="21"/>
          <w:szCs w:val="21"/>
        </w:rPr>
        <w:t xml:space="preserve">This policy is reviewed at least annually and whenever tax legislation affecting deductibility changes. The review is recorded below so that the version in force in any period can be established later — which is the point of recording it.</w:t>
      </w:r>
    </w:p>
    <w:p>
      <w:pPr>
        <w:spacing w:after="100" w:line="300"/>
      </w:pPr>
      <w:r>
        <w:rPr>
          <w:color w:val="0F2233"/>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1800"/>
        <w:gridCol w:w="2700"/>
        <w:gridCol w:w="3560"/>
      </w:tblGrid>
      <w:tr>
        <w:trPr>
          <w:tblHeader/>
        </w:trPr>
        <w:tc>
          <w:tcPr>
            <w:tcW w:type="dxa" w:w="1300"/>
            <w:shd w:fill="0F6E56" w:val="clear"/>
            <w:tcMar>
              <w:top w:type="dxa" w:w="90"/>
              <w:left w:type="dxa" w:w="130"/>
              <w:bottom w:type="dxa" w:w="90"/>
              <w:right w:type="dxa" w:w="130"/>
            </w:tcMar>
          </w:tcPr>
          <w:p>
            <w:pPr>
              <w:spacing w:after="0" w:line="280"/>
            </w:pPr>
            <w:r>
              <w:rPr>
                <w:b/>
                <w:bCs/>
                <w:color w:val="FFFFFF"/>
                <w:sz w:val="20"/>
                <w:szCs w:val="20"/>
              </w:rPr>
              <w:t xml:space="preserve">Version</w:t>
            </w:r>
          </w:p>
        </w:tc>
        <w:tc>
          <w:tcPr>
            <w:tcW w:type="dxa" w:w="1800"/>
            <w:shd w:fill="0F6E56" w:val="clear"/>
            <w:tcMar>
              <w:top w:type="dxa" w:w="90"/>
              <w:left w:type="dxa" w:w="130"/>
              <w:bottom w:type="dxa" w:w="90"/>
              <w:right w:type="dxa" w:w="130"/>
            </w:tcMar>
          </w:tcPr>
          <w:p>
            <w:pPr>
              <w:spacing w:after="0" w:line="280"/>
            </w:pPr>
            <w:r>
              <w:rPr>
                <w:b/>
                <w:bCs/>
                <w:color w:val="FFFFFF"/>
                <w:sz w:val="20"/>
                <w:szCs w:val="20"/>
              </w:rPr>
              <w:t xml:space="preserve">Date</w:t>
            </w:r>
          </w:p>
        </w:tc>
        <w:tc>
          <w:tcPr>
            <w:tcW w:type="dxa" w:w="2700"/>
            <w:shd w:fill="0F6E56" w:val="clear"/>
            <w:tcMar>
              <w:top w:type="dxa" w:w="90"/>
              <w:left w:type="dxa" w:w="130"/>
              <w:bottom w:type="dxa" w:w="90"/>
              <w:right w:type="dxa" w:w="130"/>
            </w:tcMar>
          </w:tcPr>
          <w:p>
            <w:pPr>
              <w:spacing w:after="0" w:line="280"/>
            </w:pPr>
            <w:r>
              <w:rPr>
                <w:b/>
                <w:bCs/>
                <w:color w:val="FFFFFF"/>
                <w:sz w:val="20"/>
                <w:szCs w:val="20"/>
              </w:rPr>
              <w:t xml:space="preserve">Approved by</w:t>
            </w:r>
          </w:p>
        </w:tc>
        <w:tc>
          <w:tcPr>
            <w:tcW w:type="dxa" w:w="3560"/>
            <w:shd w:fill="0F6E56" w:val="clear"/>
            <w:tcMar>
              <w:top w:type="dxa" w:w="90"/>
              <w:left w:type="dxa" w:w="130"/>
              <w:bottom w:type="dxa" w:w="90"/>
              <w:right w:type="dxa" w:w="130"/>
            </w:tcMar>
          </w:tcPr>
          <w:p>
            <w:pPr>
              <w:spacing w:after="0" w:line="280"/>
            </w:pPr>
            <w:r>
              <w:rPr>
                <w:b/>
                <w:bCs/>
                <w:color w:val="FFFFFF"/>
                <w:sz w:val="20"/>
                <w:szCs w:val="20"/>
              </w:rPr>
              <w:t xml:space="preserve">What changed</w:t>
            </w:r>
          </w:p>
        </w:tc>
      </w:tr>
      <w:tr>
        <w:trPr>
          <w:cantSplit/>
        </w:trPr>
        <w:tc>
          <w:tcPr>
            <w:tcW w:type="dxa" w:w="1300"/>
            <w:tcMar>
              <w:top w:type="dxa" w:w="90"/>
              <w:left w:type="dxa" w:w="130"/>
              <w:bottom w:type="dxa" w:w="90"/>
              <w:right w:type="dxa" w:w="130"/>
            </w:tcMar>
          </w:tcPr>
          <w:p>
            <w:pPr>
              <w:spacing w:after="0" w:line="280"/>
            </w:pPr>
            <w:r>
              <w:rPr>
                <w:b w:val="false"/>
                <w:bCs w:val="false"/>
                <w:color w:val="0F2233"/>
                <w:sz w:val="20"/>
                <w:szCs w:val="20"/>
              </w:rPr>
              <w:t xml:space="preserve">1.0</w:t>
            </w:r>
          </w:p>
        </w:tc>
        <w:tc>
          <w:tcPr>
            <w:tcW w:type="dxa" w:w="1800"/>
            <w:tcMar>
              <w:top w:type="dxa" w:w="90"/>
              <w:left w:type="dxa" w:w="130"/>
              <w:bottom w:type="dxa" w:w="90"/>
              <w:right w:type="dxa" w:w="130"/>
            </w:tcMar>
          </w:tcPr>
          <w:p>
            <w:pPr>
              <w:spacing w:after="0" w:line="280"/>
            </w:pPr>
            <w:r>
              <w:rPr>
                <w:b w:val="false"/>
                <w:bCs w:val="false"/>
                <w:color w:val="0F2233"/>
                <w:sz w:val="20"/>
                <w:szCs w:val="20"/>
              </w:rPr>
              <w:t xml:space="preserve">[date]</w:t>
            </w:r>
          </w:p>
        </w:tc>
        <w:tc>
          <w:tcPr>
            <w:tcW w:type="dxa" w:w="2700"/>
            <w:tcMar>
              <w:top w:type="dxa" w:w="90"/>
              <w:left w:type="dxa" w:w="130"/>
              <w:bottom w:type="dxa" w:w="90"/>
              <w:right w:type="dxa" w:w="130"/>
            </w:tcMar>
          </w:tcPr>
          <w:p>
            <w:pPr>
              <w:spacing w:after="0" w:line="280"/>
            </w:pPr>
            <w:r>
              <w:rPr>
                <w:b w:val="false"/>
                <w:bCs w:val="false"/>
                <w:color w:val="0F2233"/>
                <w:sz w:val="20"/>
                <w:szCs w:val="20"/>
              </w:rPr>
              <w:t xml:space="preserve">[name, title]</w:t>
            </w:r>
          </w:p>
        </w:tc>
        <w:tc>
          <w:tcPr>
            <w:tcW w:type="dxa" w:w="3560"/>
            <w:tcMar>
              <w:top w:type="dxa" w:w="90"/>
              <w:left w:type="dxa" w:w="130"/>
              <w:bottom w:type="dxa" w:w="90"/>
              <w:right w:type="dxa" w:w="130"/>
            </w:tcMar>
          </w:tcPr>
          <w:p>
            <w:pPr>
              <w:spacing w:after="0" w:line="280"/>
            </w:pPr>
            <w:r>
              <w:rPr>
                <w:b w:val="false"/>
                <w:bCs w:val="false"/>
                <w:color w:val="0F2233"/>
                <w:sz w:val="20"/>
                <w:szCs w:val="20"/>
              </w:rPr>
              <w:t xml:space="preserve">First issue</w:t>
            </w:r>
          </w:p>
        </w:tc>
      </w:tr>
      <w:tr>
        <w:trPr>
          <w:cantSplit/>
        </w:trPr>
        <w:tc>
          <w:tcPr>
            <w:tcW w:type="dxa" w:w="1300"/>
            <w:shd w:fill="F6F9FB" w:val="clear"/>
            <w:tcMar>
              <w:top w:type="dxa" w:w="90"/>
              <w:left w:type="dxa" w:w="130"/>
              <w:bottom w:type="dxa" w:w="90"/>
              <w:right w:type="dxa" w:w="130"/>
            </w:tcMar>
          </w:tcPr>
          <w:p>
            <w:pPr>
              <w:spacing w:after="0" w:line="280"/>
            </w:pPr>
            <w:r>
              <w:rPr>
                <w:b w:val="false"/>
                <w:bCs w:val="false"/>
                <w:color w:val="0F2233"/>
                <w:sz w:val="20"/>
                <w:szCs w:val="20"/>
              </w:rPr>
              <w:t xml:space="preserve"/>
            </w:r>
          </w:p>
        </w:tc>
        <w:tc>
          <w:tcPr>
            <w:tcW w:type="dxa" w:w="1800"/>
            <w:shd w:fill="F6F9FB" w:val="clear"/>
            <w:tcMar>
              <w:top w:type="dxa" w:w="90"/>
              <w:left w:type="dxa" w:w="130"/>
              <w:bottom w:type="dxa" w:w="90"/>
              <w:right w:type="dxa" w:w="130"/>
            </w:tcMar>
          </w:tcPr>
          <w:p>
            <w:pPr>
              <w:spacing w:after="0" w:line="280"/>
            </w:pPr>
            <w:r>
              <w:rPr>
                <w:b w:val="false"/>
                <w:bCs w:val="false"/>
                <w:color w:val="0F2233"/>
                <w:sz w:val="20"/>
                <w:szCs w:val="20"/>
              </w:rPr>
              <w:t xml:space="preserve"/>
            </w:r>
          </w:p>
        </w:tc>
        <w:tc>
          <w:tcPr>
            <w:tcW w:type="dxa" w:w="2700"/>
            <w:shd w:fill="F6F9FB" w:val="clear"/>
            <w:tcMar>
              <w:top w:type="dxa" w:w="90"/>
              <w:left w:type="dxa" w:w="130"/>
              <w:bottom w:type="dxa" w:w="90"/>
              <w:right w:type="dxa" w:w="130"/>
            </w:tcMar>
          </w:tcPr>
          <w:p>
            <w:pPr>
              <w:spacing w:after="0" w:line="280"/>
            </w:pPr>
            <w:r>
              <w:rPr>
                <w:b w:val="false"/>
                <w:bCs w:val="false"/>
                <w:color w:val="0F2233"/>
                <w:sz w:val="20"/>
                <w:szCs w:val="20"/>
              </w:rPr>
              <w:t xml:space="preserve"/>
            </w:r>
          </w:p>
        </w:tc>
        <w:tc>
          <w:tcPr>
            <w:tcW w:type="dxa" w:w="3560"/>
            <w:shd w:fill="F6F9FB" w:val="clear"/>
            <w:tcMar>
              <w:top w:type="dxa" w:w="90"/>
              <w:left w:type="dxa" w:w="130"/>
              <w:bottom w:type="dxa" w:w="90"/>
              <w:right w:type="dxa" w:w="130"/>
            </w:tcMar>
          </w:tcPr>
          <w:p>
            <w:pPr>
              <w:spacing w:after="0" w:line="280"/>
            </w:pPr>
            <w:r>
              <w:rPr>
                <w:b w:val="false"/>
                <w:bCs w:val="false"/>
                <w:color w:val="0F2233"/>
                <w:sz w:val="20"/>
                <w:szCs w:val="20"/>
              </w:rPr>
              <w:t xml:space="preserve"/>
            </w:r>
          </w:p>
        </w:tc>
      </w:tr>
      <w:tr>
        <w:trPr>
          <w:cantSplit/>
        </w:trPr>
        <w:tc>
          <w:tcPr>
            <w:tcW w:type="dxa" w:w="1300"/>
            <w:tcMar>
              <w:top w:type="dxa" w:w="90"/>
              <w:left w:type="dxa" w:w="130"/>
              <w:bottom w:type="dxa" w:w="90"/>
              <w:right w:type="dxa" w:w="130"/>
            </w:tcMar>
          </w:tcPr>
          <w:p>
            <w:pPr>
              <w:spacing w:after="0" w:line="280"/>
            </w:pPr>
            <w:r>
              <w:rPr>
                <w:b w:val="false"/>
                <w:bCs w:val="false"/>
                <w:color w:val="0F2233"/>
                <w:sz w:val="20"/>
                <w:szCs w:val="20"/>
              </w:rPr>
              <w:t xml:space="preserve"/>
            </w:r>
          </w:p>
        </w:tc>
        <w:tc>
          <w:tcPr>
            <w:tcW w:type="dxa" w:w="1800"/>
            <w:tcMar>
              <w:top w:type="dxa" w:w="90"/>
              <w:left w:type="dxa" w:w="130"/>
              <w:bottom w:type="dxa" w:w="90"/>
              <w:right w:type="dxa" w:w="130"/>
            </w:tcMar>
          </w:tcPr>
          <w:p>
            <w:pPr>
              <w:spacing w:after="0" w:line="280"/>
            </w:pPr>
            <w:r>
              <w:rPr>
                <w:b w:val="false"/>
                <w:bCs w:val="false"/>
                <w:color w:val="0F2233"/>
                <w:sz w:val="20"/>
                <w:szCs w:val="20"/>
              </w:rPr>
              <w:t xml:space="preserve"/>
            </w:r>
          </w:p>
        </w:tc>
        <w:tc>
          <w:tcPr>
            <w:tcW w:type="dxa" w:w="2700"/>
            <w:tcMar>
              <w:top w:type="dxa" w:w="90"/>
              <w:left w:type="dxa" w:w="130"/>
              <w:bottom w:type="dxa" w:w="90"/>
              <w:right w:type="dxa" w:w="130"/>
            </w:tcMar>
          </w:tcPr>
          <w:p>
            <w:pPr>
              <w:spacing w:after="0" w:line="280"/>
            </w:pPr>
            <w:r>
              <w:rPr>
                <w:b w:val="false"/>
                <w:bCs w:val="false"/>
                <w:color w:val="0F2233"/>
                <w:sz w:val="20"/>
                <w:szCs w:val="20"/>
              </w:rPr>
              <w:t xml:space="preserve"/>
            </w:r>
          </w:p>
        </w:tc>
        <w:tc>
          <w:tcPr>
            <w:tcW w:type="dxa" w:w="3560"/>
            <w:tcMar>
              <w:top w:type="dxa" w:w="90"/>
              <w:left w:type="dxa" w:w="130"/>
              <w:bottom w:type="dxa" w:w="90"/>
              <w:right w:type="dxa" w:w="130"/>
            </w:tcMar>
          </w:tcPr>
          <w:p>
            <w:pPr>
              <w:spacing w:after="0" w:line="280"/>
            </w:pPr>
            <w:r>
              <w:rPr>
                <w:b w:val="false"/>
                <w:bCs w:val="false"/>
                <w:color w:val="0F2233"/>
                <w:sz w:val="20"/>
                <w:szCs w:val="20"/>
              </w:rPr>
              <w:t xml:space="preserve"/>
            </w:r>
          </w:p>
        </w:tc>
      </w:tr>
    </w:tbl>
    <w:p>
      <w:r>
        <w:br w:type="page"/>
      </w:r>
    </w:p>
    <w:p>
      <w:pPr>
        <w:pStyle w:val="Heading1"/>
        <w:spacing w:after="140" w:before="320"/>
      </w:pPr>
      <w:r>
        <w:t xml:space="preserve">Where the tax points in this template come from</w:t>
      </w:r>
    </w:p>
    <w:p>
      <w:pPr>
        <w:spacing w:after="140" w:line="300"/>
      </w:pPr>
      <w:r>
        <w:rPr>
          <w:color w:val="0F2233"/>
          <w:sz w:val="21"/>
          <w:szCs w:val="21"/>
        </w:rPr>
        <w:t xml:space="preserve">Only the tax statements are sourced. Everything else — thresholds, approval levels, wording — is a template choice and carries no authority at all.</w:t>
      </w:r>
    </w:p>
    <w:p>
      <w:pPr>
        <w:spacing w:after="100" w:line="300"/>
      </w:pPr>
      <w:r>
        <w:rPr>
          <w:color w:val="0F2233"/>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rPr>
          <w:tblHeader/>
        </w:trPr>
        <w:tc>
          <w:tcPr>
            <w:tcW w:type="dxa" w:w="5400"/>
            <w:shd w:fill="0F6E56" w:val="clear"/>
            <w:tcMar>
              <w:top w:type="dxa" w:w="90"/>
              <w:left w:type="dxa" w:w="130"/>
              <w:bottom w:type="dxa" w:w="90"/>
              <w:right w:type="dxa" w:w="130"/>
            </w:tcMar>
          </w:tcPr>
          <w:p>
            <w:pPr>
              <w:spacing w:after="0" w:line="280"/>
            </w:pPr>
            <w:r>
              <w:rPr>
                <w:b/>
                <w:bCs/>
                <w:color w:val="FFFFFF"/>
                <w:sz w:val="20"/>
                <w:szCs w:val="20"/>
              </w:rPr>
              <w:t xml:space="preserve">Statement in this template</w:t>
            </w:r>
          </w:p>
        </w:tc>
        <w:tc>
          <w:tcPr>
            <w:tcW w:type="dxa" w:w="3960"/>
            <w:shd w:fill="0F6E56" w:val="clear"/>
            <w:tcMar>
              <w:top w:type="dxa" w:w="90"/>
              <w:left w:type="dxa" w:w="130"/>
              <w:bottom w:type="dxa" w:w="90"/>
              <w:right w:type="dxa" w:w="130"/>
            </w:tcMar>
          </w:tcPr>
          <w:p>
            <w:pPr>
              <w:spacing w:after="0" w:line="280"/>
            </w:pPr>
            <w:r>
              <w:rPr>
                <w:b/>
                <w:bCs/>
                <w:color w:val="FFFFFF"/>
                <w:sz w:val="20"/>
                <w:szCs w:val="20"/>
              </w:rPr>
              <w:t xml:space="preserve">Source</w:t>
            </w:r>
          </w:p>
        </w:tc>
      </w:tr>
      <w:tr>
        <w:trPr>
          <w:cantSplit/>
        </w:trPr>
        <w:tc>
          <w:tcPr>
            <w:tcW w:type="dxa" w:w="5400"/>
            <w:tcMar>
              <w:top w:type="dxa" w:w="90"/>
              <w:left w:type="dxa" w:w="130"/>
              <w:bottom w:type="dxa" w:w="90"/>
              <w:right w:type="dxa" w:w="130"/>
            </w:tcMar>
          </w:tcPr>
          <w:p>
            <w:pPr>
              <w:spacing w:after="0" w:line="280"/>
            </w:pPr>
            <w:r>
              <w:rPr>
                <w:b w:val="false"/>
                <w:bCs w:val="false"/>
                <w:color w:val="0F2233"/>
                <w:sz w:val="20"/>
                <w:szCs w:val="20"/>
              </w:rPr>
              <w:t xml:space="preserve">An expense is deductible where incurred wholly and exclusively for the business and not capital in nature</w:t>
            </w:r>
          </w:p>
        </w:tc>
        <w:tc>
          <w:tcPr>
            <w:tcW w:type="dxa" w:w="3960"/>
            <w:tcMar>
              <w:top w:type="dxa" w:w="90"/>
              <w:left w:type="dxa" w:w="130"/>
              <w:bottom w:type="dxa" w:w="90"/>
              <w:right w:type="dxa" w:w="130"/>
            </w:tcMar>
          </w:tcPr>
          <w:p>
            <w:pPr>
              <w:spacing w:after="0" w:line="280"/>
            </w:pPr>
            <w:r>
              <w:rPr>
                <w:b w:val="false"/>
                <w:bCs w:val="false"/>
                <w:color w:val="0F2233"/>
                <w:sz w:val="20"/>
                <w:szCs w:val="20"/>
              </w:rPr>
              <w:t xml:space="preserve">Federal Decree-Law No. 47 of 2022, Article 28</w:t>
            </w:r>
          </w:p>
        </w:tc>
      </w:tr>
      <w:tr>
        <w:trPr>
          <w:cantSplit/>
        </w:trPr>
        <w:tc>
          <w:tcPr>
            <w:tcW w:type="dxa" w:w="5400"/>
            <w:shd w:fill="F6F9FB" w:val="clear"/>
            <w:tcMar>
              <w:top w:type="dxa" w:w="90"/>
              <w:left w:type="dxa" w:w="130"/>
              <w:bottom w:type="dxa" w:w="90"/>
              <w:right w:type="dxa" w:w="130"/>
            </w:tcMar>
          </w:tcPr>
          <w:p>
            <w:pPr>
              <w:spacing w:after="0" w:line="280"/>
            </w:pPr>
            <w:r>
              <w:rPr>
                <w:b w:val="false"/>
                <w:bCs w:val="false"/>
                <w:color w:val="0F2233"/>
                <w:sz w:val="20"/>
                <w:szCs w:val="20"/>
              </w:rPr>
              <w:t xml:space="preserve">Entertainment, amusement and recreation expenditure is deductible at 50%</w:t>
            </w:r>
          </w:p>
        </w:tc>
        <w:tc>
          <w:tcPr>
            <w:tcW w:type="dxa" w:w="3960"/>
            <w:shd w:fill="F6F9FB" w:val="clear"/>
            <w:tcMar>
              <w:top w:type="dxa" w:w="90"/>
              <w:left w:type="dxa" w:w="130"/>
              <w:bottom w:type="dxa" w:w="90"/>
              <w:right w:type="dxa" w:w="130"/>
            </w:tcMar>
          </w:tcPr>
          <w:p>
            <w:pPr>
              <w:spacing w:after="0" w:line="280"/>
            </w:pPr>
            <w:r>
              <w:rPr>
                <w:b w:val="false"/>
                <w:bCs w:val="false"/>
                <w:color w:val="0F2233"/>
                <w:sz w:val="20"/>
                <w:szCs w:val="20"/>
              </w:rPr>
              <w:t xml:space="preserve">Federal Decree-Law No. 47 of 2022, Article 32</w:t>
            </w:r>
          </w:p>
        </w:tc>
      </w:tr>
      <w:tr>
        <w:trPr>
          <w:cantSplit/>
        </w:trPr>
        <w:tc>
          <w:tcPr>
            <w:tcW w:type="dxa" w:w="5400"/>
            <w:tcMar>
              <w:top w:type="dxa" w:w="90"/>
              <w:left w:type="dxa" w:w="130"/>
              <w:bottom w:type="dxa" w:w="90"/>
              <w:right w:type="dxa" w:w="130"/>
            </w:tcMar>
          </w:tcPr>
          <w:p>
            <w:pPr>
              <w:spacing w:after="0" w:line="280"/>
            </w:pPr>
            <w:r>
              <w:rPr>
                <w:b w:val="false"/>
                <w:bCs w:val="false"/>
                <w:color w:val="0F2233"/>
                <w:sz w:val="20"/>
                <w:szCs w:val="20"/>
              </w:rPr>
              <w:t xml:space="preserve">Fines and penalties, non-qualifying donations, unlawful payments, dividends and Corporate Tax itself are not deductible</w:t>
            </w:r>
          </w:p>
        </w:tc>
        <w:tc>
          <w:tcPr>
            <w:tcW w:type="dxa" w:w="3960"/>
            <w:tcMar>
              <w:top w:type="dxa" w:w="90"/>
              <w:left w:type="dxa" w:w="130"/>
              <w:bottom w:type="dxa" w:w="90"/>
              <w:right w:type="dxa" w:w="130"/>
            </w:tcMar>
          </w:tcPr>
          <w:p>
            <w:pPr>
              <w:spacing w:after="0" w:line="280"/>
            </w:pPr>
            <w:r>
              <w:rPr>
                <w:b w:val="false"/>
                <w:bCs w:val="false"/>
                <w:color w:val="0F2233"/>
                <w:sz w:val="20"/>
                <w:szCs w:val="20"/>
              </w:rPr>
              <w:t xml:space="preserve">Federal Decree-Law No. 47 of 2022, Article 33</w:t>
            </w:r>
          </w:p>
        </w:tc>
      </w:tr>
      <w:tr>
        <w:trPr>
          <w:cantSplit/>
        </w:trPr>
        <w:tc>
          <w:tcPr>
            <w:tcW w:type="dxa" w:w="5400"/>
            <w:shd w:fill="F6F9FB" w:val="clear"/>
            <w:tcMar>
              <w:top w:type="dxa" w:w="90"/>
              <w:left w:type="dxa" w:w="130"/>
              <w:bottom w:type="dxa" w:w="90"/>
              <w:right w:type="dxa" w:w="130"/>
            </w:tcMar>
          </w:tcPr>
          <w:p>
            <w:pPr>
              <w:spacing w:after="0" w:line="280"/>
            </w:pPr>
            <w:r>
              <w:rPr>
                <w:b w:val="false"/>
                <w:bCs w:val="false"/>
                <w:color w:val="0F2233"/>
                <w:sz w:val="20"/>
                <w:szCs w:val="20"/>
              </w:rPr>
              <w:t xml:space="preserve">Record retention obligations</w:t>
            </w:r>
          </w:p>
        </w:tc>
        <w:tc>
          <w:tcPr>
            <w:tcW w:type="dxa" w:w="3960"/>
            <w:shd w:fill="F6F9FB" w:val="clear"/>
            <w:tcMar>
              <w:top w:type="dxa" w:w="90"/>
              <w:left w:type="dxa" w:w="130"/>
              <w:bottom w:type="dxa" w:w="90"/>
              <w:right w:type="dxa" w:w="130"/>
            </w:tcMar>
          </w:tcPr>
          <w:p>
            <w:pPr>
              <w:spacing w:after="0" w:line="280"/>
            </w:pPr>
            <w:r>
              <w:rPr>
                <w:b w:val="false"/>
                <w:bCs w:val="false"/>
                <w:color w:val="0F2233"/>
                <w:sz w:val="20"/>
                <w:szCs w:val="20"/>
              </w:rPr>
              <w:t xml:space="preserve">Tax Procedures Law and its Executive Regulation — verify the current period before issuing</w:t>
            </w:r>
          </w:p>
        </w:tc>
      </w:tr>
    </w:tbl>
    <w:p>
      <w:pPr>
        <w:spacing w:after="100" w:line="300"/>
      </w:pPr>
      <w:r>
        <w:rPr>
          <w:color w:val="0F2233"/>
          <w:sz w:val="21"/>
          <w:szCs w:val="21"/>
        </w:rPr>
        <w:t xml:space="preserve"/>
      </w:r>
    </w:p>
    <w:p>
      <w:pPr>
        <w:spacing w:after="140" w:line="300"/>
      </w:pPr>
      <w:r>
        <w:rPr>
          <w:color w:val="41586B"/>
          <w:sz w:val="19"/>
          <w:szCs w:val="19"/>
        </w:rPr>
        <w:t xml:space="preserve">Checked 29 July 2026 against the published law. Requirements change; where this template and the law disagree, the law is right.</w:t>
      </w:r>
    </w:p>
    <w:p>
      <w:pPr>
        <w:pStyle w:val="Heading2"/>
        <w:spacing w:after="110" w:before="260"/>
      </w:pPr>
      <w:r>
        <w:t xml:space="preserve">And the part we cannot do for you</w:t>
      </w:r>
    </w:p>
    <w:p>
      <w:pPr>
        <w:spacing w:after="140" w:line="300"/>
      </w:pPr>
      <w:r>
        <w:rPr>
          <w:color w:val="0F2233"/>
          <w:sz w:val="21"/>
          <w:szCs w:val="21"/>
        </w:rPr>
        <w:t xml:space="preserve">This is a template, not advice. It has not been reviewed by a tax adviser for your circumstances, and the numbers in it are deliberately obvious placeholders. Before issuing it: set the thresholds, name the approvers, confirm the retention period, and have someone qualified read it against how your company actually operates.</w:t>
      </w:r>
    </w:p>
    <w:p>
      <w:pPr>
        <w:spacing w:after="0" w:line="300"/>
      </w:pPr>
      <w:r>
        <w:rPr>
          <w:color w:val="41586B"/>
          <w:sz w:val="19"/>
          <w:szCs w:val="19"/>
        </w:rPr>
        <w:t xml:space="preserve">InvoLane · involane.com · hello@involane.com</w:t>
      </w:r>
    </w:p>
    <w:sectPr>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8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320"/>
    </w:pPr>
    <w:rPr>
      <w:b/>
      <w:bCs/>
      <w:color w:val="0F2233"/>
      <w:sz w:val="30"/>
      <w:szCs w:val="30"/>
    </w:rPr>
  </w:style>
  <w:style w:type="paragraph" w:styleId="Heading2">
    <w:name w:val="Heading 2"/>
    <w:basedOn w:val="Normal"/>
    <w:next w:val="Normal"/>
    <w:qFormat/>
    <w:pPr>
      <w:spacing w:after="110" w:before="260"/>
    </w:pPr>
    <w:rPr>
      <w:b/>
      <w:bCs/>
      <w:color w:val="0F6E56"/>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2026-07-30T02:57:58.915Z</dcterms:created>
  <dcterms:modified xsi:type="dcterms:W3CDTF">2026-07-30T02:57:58.915Z</dcterms:modified>
</cp:coreProperties>
</file>

<file path=docProps/custom.xml><?xml version="1.0" encoding="utf-8"?>
<Properties xmlns="http://schemas.openxmlformats.org/officeDocument/2006/custom-properties" xmlns:vt="http://schemas.openxmlformats.org/officeDocument/2006/docPropsVTypes"/>
</file>